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eastAsia" w:ascii="仿宋" w:hAnsi="仿宋" w:eastAsia="仿宋" w:cs="Times New Roman"/>
          <w:b/>
          <w:bCs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Cs w:val="32"/>
        </w:rPr>
        <w:t>附件</w:t>
      </w:r>
      <w:r>
        <w:rPr>
          <w:rFonts w:hint="eastAsia" w:ascii="仿宋" w:hAnsi="仿宋" w:eastAsia="仿宋" w:cs="Times New Roman"/>
          <w:b/>
          <w:bCs/>
          <w:szCs w:val="32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eastAsia" w:ascii="仿宋" w:hAnsi="仿宋" w:eastAsia="仿宋" w:cs="Times New Roman"/>
          <w:b/>
          <w:bCs/>
          <w:szCs w:val="32"/>
          <w:lang w:val="en-US" w:eastAsia="zh-CN"/>
        </w:rPr>
      </w:pPr>
    </w:p>
    <w:p>
      <w:pPr>
        <w:adjustRightInd w:val="0"/>
        <w:snapToGrid w:val="0"/>
        <w:spacing w:after="289" w:afterLines="5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2024年中物联医药物流分会会长办公会</w:t>
      </w:r>
      <w:r>
        <w:rPr>
          <w:rFonts w:hint="eastAsia" w:ascii="黑体" w:hAnsi="黑体" w:eastAsia="黑体" w:cs="黑体"/>
          <w:szCs w:val="32"/>
          <w:lang w:val="en-US" w:eastAsia="zh-CN"/>
        </w:rPr>
        <w:t>暨</w:t>
      </w:r>
      <w:r>
        <w:rPr>
          <w:rFonts w:hint="eastAsia" w:ascii="黑体" w:hAnsi="黑体" w:eastAsia="黑体" w:cs="黑体"/>
          <w:szCs w:val="32"/>
          <w:lang w:eastAsia="zh-CN"/>
        </w:rPr>
        <w:t>医药供应链数字化泰山论坛</w:t>
      </w:r>
      <w:r>
        <w:rPr>
          <w:rFonts w:hint="eastAsia" w:ascii="黑体" w:hAnsi="黑体" w:eastAsia="黑体" w:cs="黑体"/>
          <w:szCs w:val="32"/>
        </w:rPr>
        <w:t>日程安排（拟）</w:t>
      </w:r>
    </w:p>
    <w:tbl>
      <w:tblPr>
        <w:tblStyle w:val="2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7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000" w:type="pct"/>
            <w:gridSpan w:val="2"/>
            <w:tcBorders>
              <w:tl2br w:val="nil"/>
              <w:tr2bl w:val="nil"/>
            </w:tcBorders>
            <w:shd w:val="clear" w:color="auto" w:fill="E0582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【感知趋势·洞察发展】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2024年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日（星期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:00-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主持人开场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highlight w:val="none"/>
              </w:rPr>
              <w:t>0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开场致辞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14:20-15:50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行业分享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医药行业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数字化转型认知与实践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15:50-16:00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16:00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【会长座谈】对于秘书处2</w:t>
            </w:r>
            <w:r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  <w:t>024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年工作的指导意见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中物联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医药物流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分会2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024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年当值会长、轮值会长、副会长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领导总结讲话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仿宋" w:hAnsi="仿宋" w:eastAsia="仿宋" w:cs="微软雅黑"/>
                <w:bCs/>
                <w:color w:val="000000"/>
                <w:sz w:val="28"/>
                <w:szCs w:val="28"/>
              </w:rPr>
              <w:t>50-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合影留念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18:30-21:00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交流晚宴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000" w:type="pct"/>
            <w:gridSpan w:val="2"/>
            <w:tcBorders>
              <w:tl2br w:val="nil"/>
              <w:tr2bl w:val="nil"/>
            </w:tcBorders>
            <w:shd w:val="clear" w:color="auto" w:fill="E05828"/>
            <w:vAlign w:val="center"/>
          </w:tcPr>
          <w:p>
            <w:pPr>
              <w:shd w:val="clear" w:fill="E05828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2024年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日（星期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9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sz w:val="28"/>
                <w:szCs w:val="28"/>
                <w:lang w:val="en-US" w:eastAsia="zh-CN"/>
              </w:rPr>
              <w:t>8:00-15:00</w:t>
            </w:r>
          </w:p>
        </w:tc>
        <w:tc>
          <w:tcPr>
            <w:tcW w:w="40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行业团建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】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泰山，又名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"https://baike.baidu.com/item/%E5%B2%B1%E5%B1%B1/12797957?fromModule=lemma_inlink"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岱山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"https://baike.baidu.com/item/%E5%B2%B1%E5%AE%97/6822046?fromModule=lemma_inlink"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岱宗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"https://baike.baidu.com/item/%E5%B2%B1%E5%B2%B3/7651479?fromModule=lemma_inlink"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岱岳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"https://baike.baidu.com/item/%E4%B8%9C%E5%B2%B3/7726556?fromModule=lemma_inlink"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东岳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"https://baike.baidu.com/item/%E6%B3%B0%E5%B2%B3/2158600?fromModule=lemma_inlink"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泰岳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，为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"https://baike.baidu.com/item/%E4%BA%94%E5%B2%B3/5666?fromModule=lemma_inlink"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五岳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之一，有“五岳之首”“天下第一山”之称 。位于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"https://baike.baidu.com/item/%E5%B1%B1%E4%B8%9C%E7%9C%81/209822?fromModule=lemma_inlink"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山东省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中部，隶属于泰安市 ，绵亘于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"https://baike.baidu.com/item/%E6%B3%B0%E5%AE%89/23398?fromModule=lemma_inlink"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泰安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"https://baike.baidu.com/item/%E6%B5%8E%E5%8D%97/135066?fromModule=lemma_inlink"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济南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"https://baike.baidu.com/item/%E6%B7%84%E5%8D%9A/167509?fromModule=lemma_inlink"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淄博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三市之间，总面积25000公顷，主峰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"https://baike.baidu.com/item/%E7%8E%89%E7%9A%87%E9%A1%B6/2181169?fromModule=lemma_inlink"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玉皇顶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海拔约1545米。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泰山相伴上下五千年的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"https://baike.baidu.com/item/%E5%8D%8E%E5%A4%8F%E6%96%87%E6%98%8E/432445?fromModule=lemma_inlink"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华夏文明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传承历史，集国家兴盛、民族存亡的象征于一身，是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"https://baike.baidu.com/item/%E4%B8%AD%E5%8D%8E%E6%B0%91%E6%97%8F/1186?fromModule=lemma_inlink"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中华民族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的精神家园，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"https://baike.baidu.com/item/%E4%B8%9C%E6%96%B9%E6%96%87%E5%8C%96/3874584?fromModule=lemma_inlink"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东方文化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的缩影，“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instrText xml:space="preserve"> HYPERLINK "https://baike.baidu.com/item/%E5%A4%A9%E4%BA%BA%E5%90%88%E4%B8%80/156174?fromModule=lemma_inlink" \t "https://baike.baidu.com/item/%E6%B3%B0%E5%B1%B1/_blank" </w:instrTex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</w:rPr>
              <w:t>天人合一</w:t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767171" w:themeColor="background2" w:themeShade="80"/>
                <w:sz w:val="20"/>
                <w:szCs w:val="20"/>
                <w:lang w:val="en-US" w:eastAsia="zh-CN"/>
              </w:rPr>
              <w:t>”思想的寄托之地 ，承载着丰厚的地理历史文化内涵，被古人视为“直通帝座”的天堂，成为百姓崇拜，帝王告祭的神山，有“泰山安，四海皆安”的说法。</w:t>
            </w:r>
          </w:p>
        </w:tc>
      </w:tr>
    </w:tbl>
    <w:p>
      <w:pPr>
        <w:widowControl/>
        <w:spacing w:line="276" w:lineRule="auto"/>
        <w:jc w:val="lef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注：最终日程请以现场为准。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DFhYjQxZDY5OGNhOTA5NTdmNDEwMjllMWJjMjMifQ=="/>
  </w:docVars>
  <w:rsids>
    <w:rsidRoot w:val="00000000"/>
    <w:rsid w:val="07C331D1"/>
    <w:rsid w:val="0F83776E"/>
    <w:rsid w:val="14783FCF"/>
    <w:rsid w:val="1DB823C6"/>
    <w:rsid w:val="215D400B"/>
    <w:rsid w:val="2E276F05"/>
    <w:rsid w:val="342030AF"/>
    <w:rsid w:val="46674E60"/>
    <w:rsid w:val="4937506D"/>
    <w:rsid w:val="4C8C735E"/>
    <w:rsid w:val="4D964E06"/>
    <w:rsid w:val="558423F1"/>
    <w:rsid w:val="593660E9"/>
    <w:rsid w:val="6F8642D8"/>
    <w:rsid w:val="70D2369A"/>
    <w:rsid w:val="79D97847"/>
    <w:rsid w:val="7F8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626</Characters>
  <Lines>0</Lines>
  <Paragraphs>0</Paragraphs>
  <TotalTime>0</TotalTime>
  <ScaleCrop>false</ScaleCrop>
  <LinksUpToDate>false</LinksUpToDate>
  <CharactersWithSpaces>629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2024-02-21T07:19:00Z</dcterms:created>
  <dc:creator>32878</dc:creator>
  <cp:lastModifiedBy>李伊伊</cp:lastModifiedBy>
  <dcterms:modified xsi:type="dcterms:W3CDTF">2024-03-07T05:26:14Z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AD7C47608E21416CB27007BC6E1317AB_13</vt:lpwstr>
  </property>
</Properties>
</file>