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44" w:name="_GoBack"/>
            <w:bookmarkEnd w:id="44"/>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03.220.01"/>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03.220.01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A 8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A 80</w:t>
            </w:r>
            <w:r>
              <w:rPr>
                <w:rFonts w:ascii="黑体" w:hAnsi="黑体" w:eastAsia="黑体"/>
                <w:sz w:val="21"/>
                <w:szCs w:val="21"/>
              </w:rPr>
              <w:fldChar w:fldCharType="end"/>
            </w:r>
            <w:bookmarkEnd w:id="1"/>
          </w:p>
        </w:tc>
      </w:tr>
    </w:tbl>
    <w:p>
      <w:pPr>
        <w:pStyle w:val="53"/>
        <w:framePr w:w="9639" w:h="624" w:hRule="exact" w:hSpace="181" w:vSpace="181" w:wrap="around" w:hAnchor="page" w:x="1305" w:y="2269"/>
      </w:pPr>
      <w:bookmarkStart w:id="2" w:name="_Hlk26473981"/>
      <w:r>
        <w:rPr>
          <w:rFonts w:hint="eastAsia"/>
        </w:rPr>
        <w:t>中华人民共和国国家标准</w:t>
      </w:r>
    </w:p>
    <w:bookmarkEnd w:id="2"/>
    <w:p>
      <w:pPr>
        <w:pStyle w:val="198"/>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药品冷链物流追溯管理要求</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Requirements for traceability management of pharmaceutical cold chain logistics"/>
            </w:textInput>
          </w:ffData>
        </w:fldChar>
      </w:r>
      <w:r>
        <w:rPr>
          <w:rFonts w:eastAsia="黑体"/>
          <w:szCs w:val="28"/>
        </w:rPr>
        <w:instrText xml:space="preserve"> </w:instrText>
      </w:r>
      <w:bookmarkStart w:id="8" w:name="ESTD_NAME"/>
      <w:r>
        <w:rPr>
          <w:rFonts w:eastAsia="黑体"/>
          <w:szCs w:val="28"/>
        </w:rPr>
        <w:instrText xml:space="preserve">FORMTEXT </w:instrText>
      </w:r>
      <w:r>
        <w:rPr>
          <w:rFonts w:eastAsia="黑体"/>
          <w:szCs w:val="28"/>
        </w:rPr>
        <w:fldChar w:fldCharType="separate"/>
      </w:r>
      <w:r>
        <w:rPr>
          <w:rFonts w:eastAsia="黑体"/>
          <w:szCs w:val="28"/>
        </w:rPr>
        <w:t>Requirements for traceability management of pharmaceutical cold chain logistics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8"/>
        <w:framePr w:w="9639" w:h="6974" w:hRule="exact" w:wrap="around" w:vAnchor="page" w:hAnchor="page" w:x="1419" w:y="6408" w:anchorLock="1"/>
        <w:spacing w:before="440" w:after="160"/>
        <w:textAlignment w:val="bottom"/>
        <w:rPr>
          <w:sz w:val="24"/>
          <w:szCs w:val="28"/>
        </w:rPr>
      </w:pPr>
      <w:bookmarkStart w:id="10" w:name="下拉1"/>
      <w:r>
        <w:rPr>
          <w:sz w:val="24"/>
          <w:szCs w:val="28"/>
        </w:rPr>
        <w:fldChar w:fldCharType="begin">
          <w:ffData>
            <w:name w:val="下拉1"/>
            <w:enabled/>
            <w:calcOnExit w:val="0"/>
            <w:ddList>
              <w:listEntry w:val="草案"/>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2"/>
        <w:spacing w:after="468"/>
      </w:pPr>
      <w:bookmarkStart w:id="19"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本文件由全国物流标准化技术委员会提出并归口。</w:t>
      </w:r>
    </w:p>
    <w:p>
      <w:pPr>
        <w:pStyle w:val="59"/>
        <w:ind w:firstLine="420"/>
      </w:pPr>
      <w:r>
        <w:rPr>
          <w:rFonts w:hint="eastAsia"/>
        </w:rPr>
        <w:t>本文件起草单位：中国物流与采购联合会、九州通医药集团物流有限公司、上药控股有限公司、国药集团医药物流有限公司、华润医药商业集团有限公司、顺丰医药供应链有限公司。</w:t>
      </w:r>
    </w:p>
    <w:p>
      <w:pPr>
        <w:pStyle w:val="59"/>
        <w:ind w:firstLine="420"/>
      </w:pPr>
      <w:r>
        <w:rPr>
          <w:rFonts w:hint="eastAsia"/>
        </w:rPr>
        <w:t>本文件主要起草人：</w:t>
      </w:r>
    </w:p>
    <w:p>
      <w:pPr>
        <w:pStyle w:val="59"/>
        <w:ind w:firstLine="420"/>
      </w:pPr>
    </w:p>
    <w:p>
      <w:pPr>
        <w:pStyle w:val="59"/>
        <w:spacing w:line="20" w:lineRule="exact"/>
        <w:ind w:firstLine="420"/>
        <w:jc w:val="cente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4050744F96A34D8AB22D49FE27A680E3"/>
        </w:placeholder>
      </w:sdtPr>
      <w:sdtContent>
        <w:p>
          <w:pPr>
            <w:pStyle w:val="180"/>
            <w:spacing w:before="312" w:beforeLines="100" w:after="686" w:afterLines="220"/>
          </w:pPr>
          <w:bookmarkStart w:id="21" w:name="NEW_STAND_NAME"/>
          <w:r>
            <w:rPr>
              <w:rFonts w:hint="eastAsia"/>
            </w:rPr>
            <w:t>药品冷链物流追溯管理要求</w:t>
          </w:r>
        </w:p>
      </w:sdtContent>
    </w:sdt>
    <w:bookmarkEnd w:id="21"/>
    <w:p>
      <w:pPr>
        <w:pStyle w:val="107"/>
        <w:spacing w:before="312" w:after="312"/>
      </w:pPr>
      <w:bookmarkStart w:id="22" w:name="_Toc24884211"/>
      <w:bookmarkStart w:id="23" w:name="_Toc26986530"/>
      <w:bookmarkStart w:id="24" w:name="_Toc26986771"/>
      <w:bookmarkStart w:id="25" w:name="_Toc26648465"/>
      <w:bookmarkStart w:id="26" w:name="_Toc97190718"/>
      <w:bookmarkStart w:id="27" w:name="_Toc26718930"/>
      <w:bookmarkStart w:id="28" w:name="_Toc17233325"/>
      <w:bookmarkStart w:id="29" w:name="_Toc17233333"/>
      <w:bookmarkStart w:id="30" w:name="_Toc24884218"/>
      <w:r>
        <w:rPr>
          <w:rFonts w:hint="eastAsia"/>
        </w:rPr>
        <w:t>范围</w:t>
      </w:r>
      <w:bookmarkEnd w:id="22"/>
      <w:bookmarkEnd w:id="23"/>
      <w:bookmarkEnd w:id="24"/>
      <w:bookmarkEnd w:id="25"/>
      <w:bookmarkEnd w:id="26"/>
      <w:bookmarkEnd w:id="27"/>
      <w:bookmarkEnd w:id="28"/>
      <w:bookmarkEnd w:id="29"/>
      <w:bookmarkEnd w:id="30"/>
    </w:p>
    <w:p>
      <w:pPr>
        <w:pStyle w:val="59"/>
        <w:ind w:firstLine="420"/>
      </w:pPr>
      <w:bookmarkStart w:id="31" w:name="_Toc24884219"/>
      <w:bookmarkStart w:id="32" w:name="_Toc17233334"/>
      <w:bookmarkStart w:id="33" w:name="_Toc24884212"/>
      <w:bookmarkStart w:id="34" w:name="_Toc17233326"/>
      <w:bookmarkStart w:id="35" w:name="_Toc26648466"/>
      <w:r>
        <w:rPr>
          <w:rFonts w:hint="eastAsia"/>
        </w:rPr>
        <w:t>本文件规定了冷链药品在物流环节的追溯管理基本要求，追溯体系、温度信息采集、追溯信息管理和实施追溯要求。</w:t>
      </w:r>
    </w:p>
    <w:p>
      <w:pPr>
        <w:pStyle w:val="59"/>
        <w:ind w:firstLine="420"/>
      </w:pPr>
      <w:r>
        <w:rPr>
          <w:rFonts w:hint="eastAsia"/>
        </w:rPr>
        <w:t>本文件适用于药品冷链物流中存储、运输、装卸搬运各环节的追溯管理。</w:t>
      </w:r>
    </w:p>
    <w:p>
      <w:pPr>
        <w:pStyle w:val="59"/>
        <w:ind w:firstLine="420"/>
      </w:pPr>
      <w:r>
        <w:t>本文件</w:t>
      </w:r>
      <w:r>
        <w:rPr>
          <w:rFonts w:hint="eastAsia"/>
        </w:rPr>
        <w:t>不适用于</w:t>
      </w:r>
      <w:r>
        <w:rPr>
          <w:rFonts w:hint="eastAsia" w:ascii="宋体" w:hAnsi="Times New Roman" w:cs="Times New Roman"/>
          <w:sz w:val="21"/>
          <w:shd w:val="clear"/>
        </w:rPr>
        <w:t>中药、中药材及</w:t>
      </w:r>
      <w:r>
        <w:rPr>
          <w:rFonts w:hint="eastAsia" w:ascii="宋体" w:hAnsi="宋体" w:eastAsia="宋体" w:cs="宋体"/>
          <w:color w:val="auto"/>
          <w:highlight w:val="none"/>
        </w:rPr>
        <w:t>特殊管理和国家有专门管理要求的药品</w:t>
      </w:r>
      <w:r>
        <w:rPr>
          <w:rFonts w:hint="eastAsia" w:ascii="宋体" w:hAnsi="Times New Roman" w:cs="Times New Roman"/>
          <w:sz w:val="21"/>
          <w:shd w:val="clear"/>
        </w:rPr>
        <w:t>冷链物流追溯管理</w:t>
      </w:r>
      <w:r>
        <w:rPr>
          <w:rFonts w:hint="eastAsia"/>
        </w:rPr>
        <w:t>。</w:t>
      </w:r>
    </w:p>
    <w:p>
      <w:pPr>
        <w:pStyle w:val="107"/>
        <w:spacing w:before="312" w:after="312"/>
      </w:pPr>
      <w:bookmarkStart w:id="36" w:name="_Toc97190719"/>
      <w:bookmarkStart w:id="37" w:name="_Toc26718931"/>
      <w:bookmarkStart w:id="38" w:name="_Toc26986531"/>
      <w:bookmarkStart w:id="39" w:name="_Toc26986772"/>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858C3E70AA5142D78CD3C441E1F2AB5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本文件没有规范性引用文件。</w:t>
          </w:r>
        </w:p>
      </w:sdtContent>
    </w:sdt>
    <w:p>
      <w:pPr>
        <w:pStyle w:val="107"/>
        <w:spacing w:before="312" w:after="312"/>
      </w:pPr>
      <w:bookmarkStart w:id="40" w:name="_Toc97190720"/>
      <w:r>
        <w:rPr>
          <w:rFonts w:hint="eastAsia"/>
          <w:szCs w:val="21"/>
        </w:rPr>
        <w:t>术语和定义</w:t>
      </w:r>
      <w:bookmarkEnd w:id="40"/>
    </w:p>
    <w:sdt>
      <w:sdtPr>
        <w:id w:val="-1909835108"/>
        <w:placeholder>
          <w:docPart w:val="858C3E70AA5142D78CD3C441E1F2AB5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1" w:name="_Toc26986532"/>
          <w:bookmarkEnd w:id="41"/>
          <w:r>
            <w:t>GB/T 28842-2021界定的以及下列术语和定义适用于本文件。</w:t>
          </w:r>
        </w:p>
      </w:sdtContent>
    </w:sdt>
    <w:p>
      <w:pPr>
        <w:pStyle w:val="108"/>
        <w:spacing w:before="156" w:after="156"/>
      </w:pPr>
      <w:r>
        <w:rPr>
          <w:rFonts w:hint="eastAsia"/>
        </w:rPr>
        <w:t xml:space="preserve">药品 </w:t>
      </w:r>
      <w:r>
        <w:t xml:space="preserve"> pharmaceutical</w:t>
      </w:r>
    </w:p>
    <w:p>
      <w:pPr>
        <w:pStyle w:val="59"/>
        <w:ind w:firstLine="199" w:firstLineChars="95"/>
      </w:pPr>
      <w:r>
        <w:rPr>
          <w:rFonts w:hint="eastAsia"/>
        </w:rPr>
        <w:t>用于预防、治疗、诊断人的疾病，有目的地调节人的生理机能并规定有适应症或者功能主治、用法和用量的物质。</w:t>
      </w:r>
    </w:p>
    <w:p>
      <w:pPr>
        <w:pStyle w:val="107"/>
        <w:spacing w:before="312" w:after="312"/>
      </w:pPr>
      <w:r>
        <w:rPr>
          <w:rFonts w:hint="eastAsia"/>
        </w:rPr>
        <w:t>追溯管理基本要求</w:t>
      </w:r>
    </w:p>
    <w:p>
      <w:pPr>
        <w:pStyle w:val="108"/>
        <w:spacing w:before="0" w:beforeLines="0" w:after="0" w:afterLines="0"/>
        <w:rPr>
          <w:rFonts w:ascii="宋体" w:hAnsi="宋体" w:eastAsia="宋体"/>
        </w:rPr>
      </w:pPr>
      <w:r>
        <w:rPr>
          <w:rFonts w:hint="eastAsia" w:ascii="宋体" w:hAnsi="宋体" w:eastAsia="宋体"/>
        </w:rPr>
        <w:t>药品冷链物流服务方应建立追溯体系，采集追溯信息。</w:t>
      </w:r>
    </w:p>
    <w:p>
      <w:pPr>
        <w:pStyle w:val="108"/>
        <w:spacing w:before="0" w:beforeLines="0" w:after="0" w:afterLines="0"/>
        <w:rPr>
          <w:rFonts w:ascii="宋体" w:hAnsi="宋体" w:eastAsia="宋体"/>
        </w:rPr>
      </w:pPr>
      <w:r>
        <w:rPr>
          <w:rFonts w:hint="eastAsia" w:ascii="宋体" w:hAnsi="宋体" w:eastAsia="宋体"/>
        </w:rPr>
        <w:t>药品冷链物流服务方在药品交接时应诚信、协作，互相配合。</w:t>
      </w:r>
    </w:p>
    <w:p>
      <w:pPr>
        <w:pStyle w:val="108"/>
        <w:spacing w:before="0" w:beforeLines="0" w:after="0" w:afterLines="0"/>
        <w:rPr>
          <w:rFonts w:ascii="宋体" w:hAnsi="宋体" w:eastAsia="宋体"/>
        </w:rPr>
      </w:pPr>
      <w:r>
        <w:rPr>
          <w:rFonts w:hint="eastAsia" w:ascii="宋体" w:hAnsi="宋体" w:eastAsia="宋体"/>
        </w:rPr>
        <w:t>药品冷链物流服务方应建立温度信息记录制度。</w:t>
      </w:r>
    </w:p>
    <w:p>
      <w:pPr>
        <w:pStyle w:val="107"/>
        <w:spacing w:before="312" w:after="312"/>
      </w:pPr>
      <w:r>
        <w:rPr>
          <w:rFonts w:hint="eastAsia"/>
        </w:rPr>
        <w:t>追溯体系</w:t>
      </w:r>
    </w:p>
    <w:p>
      <w:pPr>
        <w:pStyle w:val="108"/>
        <w:spacing w:before="156" w:after="156"/>
        <w:rPr>
          <w:szCs w:val="21"/>
        </w:rPr>
      </w:pPr>
      <w:r>
        <w:rPr>
          <w:rFonts w:hint="eastAsia"/>
        </w:rPr>
        <w:t>通用要求</w:t>
      </w:r>
    </w:p>
    <w:p>
      <w:pPr>
        <w:pStyle w:val="68"/>
        <w:spacing w:before="0" w:beforeLines="0" w:after="0" w:afterLines="0"/>
        <w:rPr>
          <w:rFonts w:ascii="宋体" w:hAnsi="宋体" w:eastAsia="宋体"/>
          <w:szCs w:val="21"/>
        </w:rPr>
      </w:pPr>
      <w:r>
        <w:rPr>
          <w:rFonts w:hint="eastAsia" w:ascii="宋体" w:hAnsi="宋体" w:eastAsia="宋体"/>
        </w:rPr>
        <w:t>追溯体系应包含药品追溯系统、药品追溯协同服务平台和药品追溯监管系统。</w:t>
      </w:r>
    </w:p>
    <w:p>
      <w:pPr>
        <w:pStyle w:val="68"/>
        <w:spacing w:before="0" w:beforeLines="0" w:after="0" w:afterLines="0"/>
        <w:rPr>
          <w:rFonts w:ascii="宋体" w:hAnsi="宋体" w:eastAsia="宋体"/>
        </w:rPr>
      </w:pPr>
      <w:r>
        <w:rPr>
          <w:rFonts w:hint="eastAsia" w:ascii="宋体" w:hAnsi="宋体" w:eastAsia="宋体"/>
        </w:rPr>
        <w:t>追溯体系的设计应将药品冷链物流中的温度信息作为主要追溯内容，建立</w:t>
      </w:r>
      <w:r>
        <w:rPr>
          <w:rFonts w:hint="eastAsia" w:ascii="宋体" w:hAnsi="宋体" w:eastAsia="宋体"/>
          <w:lang w:val="en-US" w:eastAsia="zh-CN"/>
        </w:rPr>
        <w:t>存储环节的</w:t>
      </w:r>
      <w:r>
        <w:rPr>
          <w:rFonts w:hint="eastAsia" w:ascii="宋体" w:hAnsi="宋体" w:eastAsia="宋体"/>
        </w:rPr>
        <w:t>温</w:t>
      </w:r>
      <w:r>
        <w:rPr>
          <w:rFonts w:hint="eastAsia" w:ascii="宋体" w:hAnsi="宋体" w:eastAsia="宋体"/>
          <w:lang w:val="en-US" w:eastAsia="zh-CN"/>
        </w:rPr>
        <w:t>湿</w:t>
      </w:r>
      <w:r>
        <w:rPr>
          <w:rFonts w:hint="eastAsia" w:ascii="宋体" w:hAnsi="宋体" w:eastAsia="宋体"/>
        </w:rPr>
        <w:t>度</w:t>
      </w:r>
      <w:r>
        <w:rPr>
          <w:rFonts w:hint="eastAsia" w:ascii="宋体" w:hAnsi="宋体" w:eastAsia="宋体"/>
          <w:lang w:val="en-US" w:eastAsia="zh-CN"/>
        </w:rPr>
        <w:t>和运输环节的温度</w:t>
      </w:r>
      <w:r>
        <w:rPr>
          <w:rFonts w:hint="eastAsia" w:ascii="宋体" w:hAnsi="宋体" w:eastAsia="宋体"/>
        </w:rPr>
        <w:t>监测管理和各环节间的交接制度。</w:t>
      </w:r>
    </w:p>
    <w:p>
      <w:pPr>
        <w:pStyle w:val="68"/>
        <w:spacing w:before="0" w:beforeLines="0" w:after="0" w:afterLines="0"/>
        <w:rPr>
          <w:rFonts w:ascii="宋体" w:hAnsi="宋体" w:eastAsia="宋体"/>
        </w:rPr>
      </w:pPr>
      <w:r>
        <w:rPr>
          <w:rFonts w:hint="eastAsia" w:ascii="宋体" w:hAnsi="宋体" w:eastAsia="宋体"/>
        </w:rPr>
        <w:t>应配置相关的温</w:t>
      </w:r>
      <w:r>
        <w:rPr>
          <w:rFonts w:hint="eastAsia" w:ascii="宋体" w:hAnsi="宋体" w:eastAsia="宋体"/>
          <w:lang w:val="en-US" w:eastAsia="zh-CN"/>
        </w:rPr>
        <w:t>湿</w:t>
      </w:r>
      <w:r>
        <w:rPr>
          <w:rFonts w:hint="eastAsia" w:ascii="宋体" w:hAnsi="宋体" w:eastAsia="宋体"/>
        </w:rPr>
        <w:t>度监测设备，对药品存储</w:t>
      </w:r>
      <w:r>
        <w:rPr>
          <w:rFonts w:hint="eastAsia" w:ascii="宋体" w:hAnsi="宋体" w:eastAsia="宋体"/>
          <w:lang w:val="en-US" w:eastAsia="zh-CN"/>
        </w:rPr>
        <w:t>环节的温湿度</w:t>
      </w:r>
      <w:r>
        <w:rPr>
          <w:rFonts w:hint="eastAsia" w:ascii="宋体" w:hAnsi="宋体" w:eastAsia="宋体"/>
        </w:rPr>
        <w:t>和运输环节的温度进行监测与记录，并定期对温</w:t>
      </w:r>
      <w:r>
        <w:rPr>
          <w:rFonts w:hint="eastAsia" w:ascii="宋体" w:hAnsi="宋体" w:eastAsia="宋体"/>
          <w:lang w:val="en-US" w:eastAsia="zh-CN"/>
        </w:rPr>
        <w:t>湿</w:t>
      </w:r>
      <w:r>
        <w:rPr>
          <w:rFonts w:hint="eastAsia" w:ascii="宋体" w:hAnsi="宋体" w:eastAsia="宋体"/>
        </w:rPr>
        <w:t>度监测设备进行检定与校准。</w:t>
      </w:r>
    </w:p>
    <w:p>
      <w:pPr>
        <w:pStyle w:val="68"/>
        <w:spacing w:before="0" w:beforeLines="0" w:after="0" w:afterLines="0"/>
        <w:rPr>
          <w:rFonts w:ascii="宋体" w:hAnsi="宋体" w:eastAsia="宋体"/>
        </w:rPr>
      </w:pPr>
      <w:r>
        <w:rPr>
          <w:rFonts w:hint="eastAsia" w:ascii="宋体" w:hAnsi="宋体" w:eastAsia="宋体"/>
        </w:rPr>
        <w:t>应制定药品冷链物流温</w:t>
      </w:r>
      <w:r>
        <w:rPr>
          <w:rFonts w:hint="eastAsia" w:ascii="宋体" w:hAnsi="宋体" w:eastAsia="宋体"/>
          <w:lang w:val="en-US" w:eastAsia="zh-CN"/>
        </w:rPr>
        <w:t>湿</w:t>
      </w:r>
      <w:r>
        <w:rPr>
          <w:rFonts w:hint="eastAsia" w:ascii="宋体" w:hAnsi="宋体" w:eastAsia="宋体"/>
        </w:rPr>
        <w:t>度监测操作流程，明确药品在不同环节的温</w:t>
      </w:r>
      <w:r>
        <w:rPr>
          <w:rFonts w:hint="eastAsia" w:ascii="宋体" w:hAnsi="宋体" w:eastAsia="宋体"/>
          <w:lang w:val="en-US" w:eastAsia="zh-CN"/>
        </w:rPr>
        <w:t>湿</w:t>
      </w:r>
      <w:r>
        <w:rPr>
          <w:rFonts w:hint="eastAsia" w:ascii="宋体" w:hAnsi="宋体" w:eastAsia="宋体"/>
        </w:rPr>
        <w:t>度监测方式、操作标准、温度记录要求等内容。</w:t>
      </w:r>
    </w:p>
    <w:p>
      <w:pPr>
        <w:pStyle w:val="68"/>
        <w:spacing w:before="0" w:beforeLines="0" w:after="0" w:afterLines="0"/>
        <w:rPr>
          <w:rFonts w:ascii="宋体" w:hAnsi="宋体" w:eastAsia="宋体"/>
        </w:rPr>
      </w:pPr>
      <w:r>
        <w:rPr>
          <w:rFonts w:hint="eastAsia" w:ascii="宋体" w:hAnsi="宋体" w:eastAsia="宋体"/>
        </w:rPr>
        <w:t>应制定切实有效的培训计划，对员工进行培训，使其能按照规范的要求进行温</w:t>
      </w:r>
      <w:r>
        <w:rPr>
          <w:rFonts w:hint="eastAsia" w:ascii="宋体" w:hAnsi="宋体" w:eastAsia="宋体"/>
          <w:lang w:val="en-US" w:eastAsia="zh-CN"/>
        </w:rPr>
        <w:t>湿</w:t>
      </w:r>
      <w:r>
        <w:rPr>
          <w:rFonts w:hint="eastAsia" w:ascii="宋体" w:hAnsi="宋体" w:eastAsia="宋体"/>
        </w:rPr>
        <w:t>度监测、记录和交接。</w:t>
      </w:r>
    </w:p>
    <w:p>
      <w:pPr>
        <w:pStyle w:val="68"/>
        <w:spacing w:before="0" w:beforeLines="0" w:after="0" w:afterLines="0"/>
        <w:rPr>
          <w:rFonts w:ascii="宋体" w:hAnsi="宋体" w:eastAsia="宋体"/>
        </w:rPr>
      </w:pPr>
      <w:r>
        <w:rPr>
          <w:rFonts w:hint="eastAsia" w:ascii="宋体" w:hAnsi="宋体" w:eastAsia="宋体"/>
        </w:rPr>
        <w:t>应对药品冷链物流追溯系统进行验证，确保追溯系统的记录连续、完整、有效。</w:t>
      </w:r>
    </w:p>
    <w:p>
      <w:pPr>
        <w:pStyle w:val="108"/>
        <w:spacing w:before="156" w:after="156"/>
      </w:pPr>
      <w:r>
        <w:rPr>
          <w:rFonts w:hint="eastAsia"/>
        </w:rPr>
        <w:t>追溯信息</w:t>
      </w:r>
    </w:p>
    <w:p>
      <w:pPr>
        <w:pStyle w:val="68"/>
        <w:spacing w:before="0" w:beforeLines="0" w:after="0" w:afterLines="0"/>
        <w:rPr>
          <w:rFonts w:ascii="宋体" w:hAnsi="宋体" w:eastAsia="宋体"/>
        </w:rPr>
      </w:pPr>
      <w:r>
        <w:rPr>
          <w:rFonts w:hint="eastAsia" w:ascii="宋体" w:hAnsi="宋体" w:eastAsia="宋体"/>
        </w:rPr>
        <w:t>药品冷链物流服务方在物流作业过程中，应及时、准确、完整的记录药品交接各环节的追溯信息。</w:t>
      </w:r>
    </w:p>
    <w:p>
      <w:pPr>
        <w:pStyle w:val="68"/>
        <w:spacing w:before="0" w:beforeLines="0" w:after="0" w:afterLines="0"/>
        <w:rPr>
          <w:rFonts w:ascii="宋体" w:hAnsi="宋体" w:eastAsia="宋体"/>
        </w:rPr>
      </w:pPr>
      <w:r>
        <w:rPr>
          <w:rFonts w:hint="eastAsia" w:ascii="宋体" w:hAnsi="宋体" w:eastAsia="宋体"/>
        </w:rPr>
        <w:t>药品冷链物流追溯信息应包括药品信息、数量、发货方、发货方联系方式及地址、运输时间、司机信息、运输温度、存储全过程温湿度、收货方、收货方联系方式及地址等。</w:t>
      </w:r>
    </w:p>
    <w:p>
      <w:pPr>
        <w:pStyle w:val="68"/>
        <w:spacing w:before="0" w:beforeLines="0" w:after="0" w:afterLines="0"/>
        <w:rPr>
          <w:rFonts w:ascii="宋体" w:hAnsi="宋体" w:eastAsia="宋体"/>
        </w:rPr>
      </w:pPr>
      <w:r>
        <w:rPr>
          <w:rFonts w:hint="eastAsia" w:ascii="宋体" w:hAnsi="宋体" w:eastAsia="宋体"/>
        </w:rPr>
        <w:t>当药品冷链物流环节中作业设施设备或监测温</w:t>
      </w:r>
      <w:r>
        <w:rPr>
          <w:rFonts w:hint="eastAsia" w:ascii="宋体" w:hAnsi="宋体" w:eastAsia="宋体"/>
          <w:lang w:val="en-US" w:eastAsia="zh-CN"/>
        </w:rPr>
        <w:t>湿</w:t>
      </w:r>
      <w:r>
        <w:rPr>
          <w:rFonts w:hint="eastAsia" w:ascii="宋体" w:hAnsi="宋体" w:eastAsia="宋体"/>
        </w:rPr>
        <w:t>度设备出现异常时，应对异常的时间、原因、采取的措施及后续温度记录作为特殊情况下的温</w:t>
      </w:r>
      <w:r>
        <w:rPr>
          <w:rFonts w:hint="eastAsia" w:ascii="宋体" w:hAnsi="宋体" w:eastAsia="宋体"/>
          <w:lang w:val="en-US" w:eastAsia="zh-CN"/>
        </w:rPr>
        <w:t>湿</w:t>
      </w:r>
      <w:r>
        <w:rPr>
          <w:rFonts w:hint="eastAsia" w:ascii="宋体" w:hAnsi="宋体" w:eastAsia="宋体"/>
        </w:rPr>
        <w:t>度追溯信息。</w:t>
      </w:r>
    </w:p>
    <w:p>
      <w:pPr>
        <w:pStyle w:val="108"/>
        <w:spacing w:before="156" w:after="156"/>
      </w:pPr>
      <w:r>
        <w:rPr>
          <w:rFonts w:hint="eastAsia"/>
        </w:rPr>
        <w:t>追溯标识</w:t>
      </w:r>
    </w:p>
    <w:p>
      <w:pPr>
        <w:pStyle w:val="68"/>
        <w:spacing w:before="0" w:beforeLines="0" w:after="0" w:afterLines="0"/>
        <w:rPr>
          <w:rFonts w:ascii="宋体" w:hAnsi="宋体" w:eastAsia="宋体"/>
        </w:rPr>
      </w:pPr>
      <w:r>
        <w:rPr>
          <w:rFonts w:hint="eastAsia" w:ascii="宋体" w:hAnsi="宋体" w:eastAsia="宋体"/>
        </w:rPr>
        <w:t>药品的追溯标识码应具有易识别性、清晰性及显著性。</w:t>
      </w:r>
    </w:p>
    <w:p>
      <w:pPr>
        <w:pStyle w:val="68"/>
        <w:spacing w:before="0" w:beforeLines="0" w:after="0" w:afterLines="0"/>
        <w:rPr>
          <w:rFonts w:ascii="宋体" w:hAnsi="宋体" w:eastAsia="宋体"/>
        </w:rPr>
      </w:pPr>
      <w:r>
        <w:rPr>
          <w:rFonts w:hint="eastAsia" w:ascii="宋体" w:hAnsi="宋体" w:eastAsia="宋体"/>
        </w:rPr>
        <w:t>药品冷链物流服务方应加强物流过程中的防护，保障药品包装完整，追溯标识清晰、完整。</w:t>
      </w:r>
    </w:p>
    <w:p>
      <w:pPr>
        <w:pStyle w:val="108"/>
        <w:spacing w:before="156" w:after="156"/>
      </w:pPr>
      <w:r>
        <w:rPr>
          <w:rFonts w:hint="eastAsia"/>
        </w:rPr>
        <w:t>温度记录</w:t>
      </w:r>
    </w:p>
    <w:p>
      <w:pPr>
        <w:pStyle w:val="68"/>
        <w:spacing w:before="0" w:beforeLines="0" w:after="0" w:afterLines="0"/>
        <w:rPr>
          <w:rFonts w:ascii="宋体" w:hAnsi="宋体" w:eastAsia="宋体"/>
        </w:rPr>
      </w:pPr>
      <w:r>
        <w:rPr>
          <w:rFonts w:hint="eastAsia" w:ascii="宋体" w:hAnsi="宋体" w:eastAsia="宋体"/>
        </w:rPr>
        <w:t>药品冷链物流追溯体系中的温度记录应便于与外界进行数据交换。温度记录应真实、完整、有效。</w:t>
      </w:r>
    </w:p>
    <w:p>
      <w:pPr>
        <w:pStyle w:val="68"/>
        <w:spacing w:before="0" w:beforeLines="0" w:after="0" w:afterLines="0"/>
        <w:rPr>
          <w:rFonts w:ascii="宋体" w:hAnsi="宋体" w:eastAsia="宋体"/>
        </w:rPr>
      </w:pPr>
      <w:r>
        <w:rPr>
          <w:rFonts w:hint="eastAsia" w:ascii="宋体" w:hAnsi="宋体" w:eastAsia="宋体"/>
        </w:rPr>
        <w:t>温度记录载体宜为电子文件，记录内容可为数字或图表。</w:t>
      </w:r>
    </w:p>
    <w:p>
      <w:pPr>
        <w:pStyle w:val="68"/>
        <w:spacing w:before="0" w:beforeLines="0" w:after="0" w:afterLines="0"/>
        <w:rPr>
          <w:rFonts w:ascii="宋体" w:hAnsi="宋体" w:eastAsia="宋体"/>
        </w:rPr>
      </w:pPr>
      <w:r>
        <w:rPr>
          <w:rFonts w:hint="eastAsia" w:ascii="宋体" w:hAnsi="宋体" w:eastAsia="宋体"/>
        </w:rPr>
        <w:t>温度记录在冷链物流作业结束后应按需求方要求予以提供，或对接上传至第三方平台，由需求方自主查阅。</w:t>
      </w:r>
    </w:p>
    <w:p>
      <w:pPr>
        <w:pStyle w:val="68"/>
        <w:spacing w:before="0" w:beforeLines="0" w:after="0" w:afterLines="0"/>
        <w:rPr>
          <w:rFonts w:ascii="宋体" w:hAnsi="宋体" w:eastAsia="宋体"/>
        </w:rPr>
      </w:pPr>
      <w:r>
        <w:rPr>
          <w:rFonts w:hint="eastAsia" w:ascii="宋体" w:hAnsi="宋体" w:eastAsia="宋体"/>
        </w:rPr>
        <w:t>存储</w:t>
      </w:r>
      <w:r>
        <w:rPr>
          <w:rFonts w:hint="eastAsia" w:ascii="宋体" w:hAnsi="宋体" w:eastAsia="宋体"/>
          <w:lang w:val="en-US" w:eastAsia="zh-CN"/>
        </w:rPr>
        <w:t>环节的温湿度信息及</w:t>
      </w:r>
      <w:r>
        <w:rPr>
          <w:rFonts w:hint="eastAsia" w:ascii="宋体" w:hAnsi="宋体" w:eastAsia="宋体"/>
        </w:rPr>
        <w:t>运输环节的温度信息应以环境温</w:t>
      </w:r>
      <w:r>
        <w:rPr>
          <w:rFonts w:hint="eastAsia" w:ascii="宋体" w:hAnsi="宋体" w:eastAsia="宋体"/>
          <w:lang w:val="en-US" w:eastAsia="zh-CN"/>
        </w:rPr>
        <w:t>湿</w:t>
      </w:r>
      <w:r>
        <w:rPr>
          <w:rFonts w:hint="eastAsia" w:ascii="宋体" w:hAnsi="宋体" w:eastAsia="宋体"/>
        </w:rPr>
        <w:t>度为依据，交接及装卸搬运的温度信息应采用产品温度。</w:t>
      </w:r>
    </w:p>
    <w:p>
      <w:pPr>
        <w:pStyle w:val="68"/>
        <w:spacing w:before="0" w:beforeLines="0" w:after="0" w:afterLines="0"/>
        <w:rPr>
          <w:rFonts w:ascii="宋体" w:hAnsi="宋体" w:eastAsia="宋体"/>
        </w:rPr>
      </w:pPr>
      <w:r>
        <w:rPr>
          <w:rFonts w:hint="eastAsia" w:ascii="宋体" w:hAnsi="宋体" w:eastAsia="宋体"/>
        </w:rPr>
        <w:t>药品冷链物流所用到的冷藏箱、冷藏车、冷库等温控设施设备应定期验证，并对其温控稳定性进行评估。</w:t>
      </w:r>
    </w:p>
    <w:p>
      <w:pPr>
        <w:pStyle w:val="68"/>
        <w:spacing w:before="0" w:beforeLines="0" w:after="0" w:afterLines="0"/>
        <w:rPr>
          <w:rFonts w:ascii="宋体" w:hAnsi="宋体" w:eastAsia="宋体"/>
        </w:rPr>
      </w:pPr>
      <w:r>
        <w:rPr>
          <w:rFonts w:hint="eastAsia" w:ascii="宋体" w:hAnsi="宋体" w:eastAsia="宋体"/>
        </w:rPr>
        <w:t>药品冷链物流的交接应在符合药品储运温度要求的环境下进行，并按产品温度进行测量与记录。</w:t>
      </w:r>
    </w:p>
    <w:p>
      <w:pPr>
        <w:pStyle w:val="107"/>
        <w:spacing w:before="312" w:after="312"/>
      </w:pPr>
      <w:r>
        <w:rPr>
          <w:rFonts w:hint="eastAsia"/>
        </w:rPr>
        <w:t>温度信息采集</w:t>
      </w:r>
    </w:p>
    <w:p>
      <w:pPr>
        <w:pStyle w:val="108"/>
        <w:spacing w:before="156" w:after="156"/>
      </w:pPr>
      <w:r>
        <w:rPr>
          <w:rFonts w:hint="eastAsia"/>
        </w:rPr>
        <w:t>存储环节</w:t>
      </w:r>
    </w:p>
    <w:p>
      <w:pPr>
        <w:pStyle w:val="68"/>
        <w:spacing w:before="0" w:beforeLines="0" w:after="0" w:afterLines="0"/>
        <w:rPr>
          <w:rFonts w:ascii="宋体" w:hAnsi="宋体" w:eastAsia="宋体"/>
        </w:rPr>
      </w:pPr>
      <w:r>
        <w:rPr>
          <w:rFonts w:hint="eastAsia" w:ascii="宋体" w:hAnsi="宋体" w:eastAsia="宋体"/>
        </w:rPr>
        <w:t>药品在入库前，应核对运输温度记录，对入库时间、交接温度等进行记录，确认无误后进行交接。</w:t>
      </w:r>
    </w:p>
    <w:p>
      <w:pPr>
        <w:pStyle w:val="68"/>
        <w:spacing w:before="0" w:beforeLines="0" w:after="0" w:afterLines="0"/>
        <w:rPr>
          <w:rFonts w:ascii="宋体" w:hAnsi="宋体" w:eastAsia="宋体"/>
        </w:rPr>
      </w:pPr>
      <w:r>
        <w:rPr>
          <w:rFonts w:hint="eastAsia" w:ascii="宋体" w:hAnsi="宋体" w:eastAsia="宋体"/>
        </w:rPr>
        <w:t>冷库的温</w:t>
      </w:r>
      <w:r>
        <w:rPr>
          <w:rFonts w:hint="eastAsia" w:ascii="宋体" w:hAnsi="宋体" w:eastAsia="宋体"/>
          <w:lang w:val="en-US" w:eastAsia="zh-CN"/>
        </w:rPr>
        <w:t>湿</w:t>
      </w:r>
      <w:r>
        <w:rPr>
          <w:rFonts w:hint="eastAsia" w:ascii="宋体" w:hAnsi="宋体" w:eastAsia="宋体"/>
        </w:rPr>
        <w:t>度记录和显示设备应放置在冷库外方便查看和控制的地方，温</w:t>
      </w:r>
      <w:r>
        <w:rPr>
          <w:rFonts w:hint="eastAsia" w:ascii="宋体" w:hAnsi="宋体" w:eastAsia="宋体"/>
          <w:lang w:val="en-US" w:eastAsia="zh-CN"/>
        </w:rPr>
        <w:t>湿度监</w:t>
      </w:r>
      <w:r>
        <w:rPr>
          <w:rFonts w:hint="eastAsia" w:ascii="宋体" w:hAnsi="宋体" w:eastAsia="宋体"/>
        </w:rPr>
        <w:t>控设备的布点需按照验证结果进行布置。</w:t>
      </w:r>
    </w:p>
    <w:p>
      <w:pPr>
        <w:pStyle w:val="68"/>
        <w:spacing w:before="0" w:beforeLines="0" w:after="0" w:afterLines="0"/>
        <w:rPr>
          <w:rFonts w:ascii="宋体" w:hAnsi="宋体" w:eastAsia="宋体"/>
        </w:rPr>
      </w:pPr>
      <w:r>
        <w:rPr>
          <w:rFonts w:hint="eastAsia" w:ascii="宋体" w:hAnsi="宋体" w:eastAsia="宋体"/>
        </w:rPr>
        <w:t>冷库环境温</w:t>
      </w:r>
      <w:r>
        <w:rPr>
          <w:rFonts w:hint="eastAsia" w:ascii="宋体" w:hAnsi="宋体" w:eastAsia="宋体"/>
          <w:lang w:val="en-US" w:eastAsia="zh-CN"/>
        </w:rPr>
        <w:t>湿</w:t>
      </w:r>
      <w:r>
        <w:rPr>
          <w:rFonts w:hint="eastAsia" w:ascii="宋体" w:hAnsi="宋体" w:eastAsia="宋体"/>
        </w:rPr>
        <w:t>度的测量应满足质量管理要求，冷库内温</w:t>
      </w:r>
      <w:r>
        <w:rPr>
          <w:rFonts w:hint="eastAsia" w:ascii="宋体" w:hAnsi="宋体" w:eastAsia="宋体"/>
          <w:lang w:val="en-US" w:eastAsia="zh-CN"/>
        </w:rPr>
        <w:t>湿</w:t>
      </w:r>
      <w:r>
        <w:rPr>
          <w:rFonts w:hint="eastAsia" w:ascii="宋体" w:hAnsi="宋体" w:eastAsia="宋体"/>
        </w:rPr>
        <w:t>度感应器的数量应符合温</w:t>
      </w:r>
      <w:r>
        <w:rPr>
          <w:rFonts w:hint="eastAsia" w:ascii="宋体" w:hAnsi="宋体" w:eastAsia="宋体"/>
          <w:lang w:val="en-US" w:eastAsia="zh-CN"/>
        </w:rPr>
        <w:t>湿</w:t>
      </w:r>
      <w:r>
        <w:rPr>
          <w:rFonts w:hint="eastAsia" w:ascii="宋体" w:hAnsi="宋体" w:eastAsia="宋体"/>
        </w:rPr>
        <w:t>度记录的要求。</w:t>
      </w:r>
    </w:p>
    <w:p>
      <w:pPr>
        <w:pStyle w:val="68"/>
        <w:spacing w:before="0" w:beforeLines="0" w:after="0" w:afterLines="0"/>
        <w:rPr>
          <w:rFonts w:ascii="宋体" w:hAnsi="宋体" w:eastAsia="宋体"/>
        </w:rPr>
      </w:pPr>
      <w:r>
        <w:rPr>
          <w:rFonts w:hint="eastAsia" w:ascii="宋体" w:hAnsi="宋体" w:eastAsia="宋体"/>
        </w:rPr>
        <w:t>药品在存储过程中的温</w:t>
      </w:r>
      <w:r>
        <w:rPr>
          <w:rFonts w:hint="eastAsia" w:ascii="宋体" w:hAnsi="宋体" w:eastAsia="宋体"/>
          <w:lang w:val="en-US" w:eastAsia="zh-CN"/>
        </w:rPr>
        <w:t>湿</w:t>
      </w:r>
      <w:r>
        <w:rPr>
          <w:rFonts w:hint="eastAsia" w:ascii="宋体" w:hAnsi="宋体" w:eastAsia="宋体"/>
        </w:rPr>
        <w:t>度记录时间间隔应符合相关要求。</w:t>
      </w:r>
    </w:p>
    <w:p>
      <w:pPr>
        <w:pStyle w:val="68"/>
        <w:spacing w:before="0" w:beforeLines="0" w:after="0" w:afterLines="0"/>
        <w:rPr>
          <w:rFonts w:ascii="宋体" w:hAnsi="宋体" w:eastAsia="宋体"/>
        </w:rPr>
      </w:pPr>
      <w:r>
        <w:rPr>
          <w:rFonts w:hint="eastAsia" w:ascii="宋体" w:hAnsi="宋体" w:eastAsia="宋体"/>
        </w:rPr>
        <w:t>药品进行拣选、复核打包等物流作业时，应全程在产品说明书或者标签标识的温度下进行，并详细记录药品信息、温度信息等追溯信息。</w:t>
      </w:r>
    </w:p>
    <w:p>
      <w:pPr>
        <w:pStyle w:val="68"/>
        <w:spacing w:before="0" w:beforeLines="0" w:after="0" w:afterLines="0"/>
        <w:rPr>
          <w:rFonts w:ascii="宋体" w:hAnsi="宋体" w:eastAsia="宋体"/>
        </w:rPr>
      </w:pPr>
      <w:r>
        <w:rPr>
          <w:rFonts w:hint="eastAsia" w:ascii="宋体" w:hAnsi="宋体" w:eastAsia="宋体"/>
        </w:rPr>
        <w:t>出库时，应对药品的包装、追溯标识进行检查，对环境温度进行核对，并与下一环节操作人员确认交接时的药品温度。测量药品的温度，保证符合药品储运温度条件。</w:t>
      </w:r>
    </w:p>
    <w:p>
      <w:pPr>
        <w:pStyle w:val="68"/>
        <w:spacing w:before="0" w:beforeLines="0" w:after="0" w:afterLines="0"/>
        <w:rPr>
          <w:rFonts w:ascii="宋体" w:hAnsi="宋体" w:eastAsia="宋体"/>
        </w:rPr>
      </w:pPr>
      <w:r>
        <w:rPr>
          <w:rFonts w:hint="eastAsia" w:ascii="宋体" w:hAnsi="宋体" w:eastAsia="宋体"/>
        </w:rPr>
        <w:t>存储服务完成后，应根据需求方的要求提供存储过程中的温度记录。</w:t>
      </w:r>
    </w:p>
    <w:p>
      <w:pPr>
        <w:pStyle w:val="108"/>
        <w:spacing w:before="156" w:after="156"/>
      </w:pPr>
      <w:r>
        <w:rPr>
          <w:rFonts w:hint="eastAsia"/>
        </w:rPr>
        <w:t>运输环节</w:t>
      </w:r>
    </w:p>
    <w:p>
      <w:pPr>
        <w:pStyle w:val="68"/>
        <w:spacing w:before="0" w:beforeLines="0" w:after="0" w:afterLines="0"/>
        <w:rPr>
          <w:rFonts w:ascii="宋体" w:hAnsi="宋体" w:eastAsia="宋体"/>
        </w:rPr>
      </w:pPr>
      <w:r>
        <w:rPr>
          <w:rFonts w:hint="eastAsia" w:ascii="宋体" w:hAnsi="宋体" w:eastAsia="宋体"/>
        </w:rPr>
        <w:t>药品在装运前应检查运输包装，测量并记录药品温度，并和上一环节人员进行签字确认。</w:t>
      </w:r>
    </w:p>
    <w:p>
      <w:pPr>
        <w:pStyle w:val="68"/>
        <w:spacing w:before="0" w:beforeLines="0" w:after="0" w:afterLines="0"/>
        <w:rPr>
          <w:rFonts w:ascii="宋体" w:hAnsi="宋体" w:eastAsia="宋体"/>
        </w:rPr>
      </w:pPr>
      <w:r>
        <w:rPr>
          <w:rFonts w:hint="eastAsia" w:ascii="宋体" w:hAnsi="宋体" w:eastAsia="宋体"/>
        </w:rPr>
        <w:t>运输环节温度的测量应满足质量管理要求，车内温度感应器的数量应符合温度记录的要求。</w:t>
      </w:r>
    </w:p>
    <w:p>
      <w:pPr>
        <w:pStyle w:val="68"/>
        <w:spacing w:before="0" w:beforeLines="0" w:after="0" w:afterLines="0"/>
        <w:rPr>
          <w:rFonts w:ascii="宋体" w:hAnsi="宋体" w:eastAsia="宋体"/>
        </w:rPr>
      </w:pPr>
      <w:r>
        <w:rPr>
          <w:rFonts w:hint="eastAsia" w:ascii="宋体" w:hAnsi="宋体" w:eastAsia="宋体"/>
        </w:rPr>
        <w:t>药品在运输过程中的温度记录时间间隔应符合相关要求。</w:t>
      </w:r>
    </w:p>
    <w:p>
      <w:pPr>
        <w:pStyle w:val="68"/>
        <w:spacing w:before="0" w:beforeLines="0" w:after="0" w:afterLines="0"/>
        <w:rPr>
          <w:rFonts w:ascii="宋体" w:hAnsi="宋体" w:eastAsia="宋体"/>
        </w:rPr>
      </w:pPr>
      <w:r>
        <w:rPr>
          <w:rFonts w:hint="eastAsia" w:ascii="宋体" w:hAnsi="宋体" w:eastAsia="宋体"/>
        </w:rPr>
        <w:t>运输结束时应与下一环节人员交接时进行温度数据的测量、记录。双方签字确认。</w:t>
      </w:r>
    </w:p>
    <w:p>
      <w:pPr>
        <w:pStyle w:val="68"/>
        <w:spacing w:before="0" w:beforeLines="0" w:after="0" w:afterLines="0"/>
        <w:rPr>
          <w:rFonts w:ascii="宋体" w:hAnsi="宋体" w:eastAsia="宋体"/>
        </w:rPr>
      </w:pPr>
      <w:r>
        <w:rPr>
          <w:rFonts w:hint="eastAsia" w:ascii="宋体" w:hAnsi="宋体" w:eastAsia="宋体"/>
        </w:rPr>
        <w:t>运输服务方应按需求方要求，提供与运输过程时间相吻合的温度数据。</w:t>
      </w:r>
    </w:p>
    <w:p>
      <w:pPr>
        <w:pStyle w:val="107"/>
        <w:spacing w:before="312" w:after="312"/>
      </w:pPr>
      <w:r>
        <w:rPr>
          <w:rFonts w:hint="eastAsia"/>
        </w:rPr>
        <w:t>追溯信息管理</w:t>
      </w:r>
    </w:p>
    <w:p>
      <w:pPr>
        <w:pStyle w:val="108"/>
        <w:spacing w:before="156" w:after="156"/>
      </w:pPr>
      <w:r>
        <w:rPr>
          <w:rFonts w:hint="eastAsia"/>
        </w:rPr>
        <w:t>信息存储</w:t>
      </w:r>
    </w:p>
    <w:p>
      <w:pPr>
        <w:pStyle w:val="68"/>
        <w:spacing w:before="0" w:beforeLines="0" w:after="0" w:afterLines="0"/>
        <w:rPr>
          <w:rFonts w:ascii="宋体" w:hAnsi="宋体" w:eastAsia="宋体"/>
        </w:rPr>
      </w:pPr>
      <w:r>
        <w:rPr>
          <w:rFonts w:hint="eastAsia" w:ascii="宋体" w:hAnsi="宋体" w:eastAsia="宋体"/>
        </w:rPr>
        <w:t>应建立追溯信息的管理制度。</w:t>
      </w:r>
    </w:p>
    <w:p>
      <w:pPr>
        <w:pStyle w:val="68"/>
        <w:spacing w:before="0" w:beforeLines="0" w:after="0" w:afterLines="0"/>
        <w:rPr>
          <w:rFonts w:ascii="宋体" w:hAnsi="宋体" w:eastAsia="宋体"/>
        </w:rPr>
      </w:pPr>
      <w:r>
        <w:rPr>
          <w:rFonts w:hint="eastAsia" w:ascii="宋体" w:hAnsi="宋体" w:eastAsia="宋体"/>
        </w:rPr>
        <w:t>纸质档记录及时归档，电子档记录及时备份。相关记录至少保存五年。</w:t>
      </w:r>
    </w:p>
    <w:p>
      <w:pPr>
        <w:pStyle w:val="68"/>
        <w:spacing w:before="0" w:beforeLines="0" w:after="0" w:afterLines="0"/>
        <w:rPr>
          <w:rFonts w:ascii="宋体" w:hAnsi="宋体" w:eastAsia="宋体"/>
        </w:rPr>
      </w:pPr>
      <w:r>
        <w:rPr>
          <w:rFonts w:hint="eastAsia" w:ascii="宋体" w:hAnsi="宋体" w:eastAsia="宋体"/>
        </w:rPr>
        <w:t>追溯信息应及时上传追溯系统或第三方系统。</w:t>
      </w:r>
    </w:p>
    <w:p>
      <w:pPr>
        <w:pStyle w:val="108"/>
        <w:spacing w:before="156" w:after="156"/>
      </w:pPr>
      <w:r>
        <w:rPr>
          <w:rFonts w:hint="eastAsia"/>
        </w:rPr>
        <w:t>信息传输</w:t>
      </w:r>
    </w:p>
    <w:p>
      <w:pPr>
        <w:pStyle w:val="68"/>
        <w:spacing w:before="0" w:beforeLines="0" w:after="0" w:afterLines="0"/>
        <w:rPr>
          <w:rFonts w:ascii="宋体" w:hAnsi="宋体" w:eastAsia="宋体"/>
        </w:rPr>
      </w:pPr>
      <w:r>
        <w:rPr>
          <w:rFonts w:hint="eastAsia" w:ascii="宋体" w:hAnsi="宋体" w:eastAsia="宋体"/>
        </w:rPr>
        <w:t>药品冷链物流上、下环节交接时应做到追溯信息共享。</w:t>
      </w:r>
    </w:p>
    <w:p>
      <w:pPr>
        <w:pStyle w:val="68"/>
        <w:spacing w:before="0" w:beforeLines="0" w:after="0" w:afterLines="0"/>
        <w:rPr>
          <w:rFonts w:ascii="宋体" w:hAnsi="宋体" w:eastAsia="宋体"/>
        </w:rPr>
      </w:pPr>
      <w:r>
        <w:rPr>
          <w:rFonts w:hint="eastAsia" w:ascii="宋体" w:hAnsi="宋体" w:eastAsia="宋体"/>
        </w:rPr>
        <w:t>完成药品冷链物流服务时应按需求方所需信息进行提供。</w:t>
      </w:r>
    </w:p>
    <w:p>
      <w:pPr>
        <w:pStyle w:val="107"/>
        <w:spacing w:before="312" w:after="312"/>
      </w:pPr>
      <w:r>
        <w:rPr>
          <w:rFonts w:hint="eastAsia"/>
        </w:rPr>
        <w:t>实施追溯</w:t>
      </w:r>
    </w:p>
    <w:p>
      <w:pPr>
        <w:pStyle w:val="68"/>
        <w:spacing w:before="0" w:beforeLines="0" w:after="0" w:afterLines="0"/>
        <w:rPr>
          <w:rFonts w:ascii="宋体" w:hAnsi="宋体" w:eastAsia="宋体"/>
        </w:rPr>
      </w:pPr>
      <w:r>
        <w:rPr>
          <w:rFonts w:hint="eastAsia" w:ascii="宋体" w:hAnsi="宋体" w:eastAsia="宋体"/>
        </w:rPr>
        <w:t>药品冷链物流服务方应保留追溯信息，积极响应需求方、客户、相关部门的追溯请求，并按其所需提供追溯信息，实施追溯。</w:t>
      </w:r>
    </w:p>
    <w:p>
      <w:pPr>
        <w:pStyle w:val="68"/>
        <w:spacing w:before="0" w:beforeLines="0" w:after="0" w:afterLines="0"/>
        <w:rPr>
          <w:rFonts w:ascii="宋体" w:hAnsi="宋体" w:eastAsia="宋体"/>
        </w:rPr>
      </w:pPr>
      <w:r>
        <w:rPr>
          <w:rFonts w:hint="eastAsia" w:ascii="宋体" w:hAnsi="宋体" w:eastAsia="宋体"/>
        </w:rPr>
        <w:t>具有交易合作的双方可对需要追溯的内容及实施条件在商务协议中规定清晰。</w:t>
      </w:r>
    </w:p>
    <w:p>
      <w:pPr>
        <w:pStyle w:val="68"/>
        <w:spacing w:before="0" w:beforeLines="0" w:after="0" w:afterLines="0"/>
        <w:rPr>
          <w:rFonts w:ascii="宋体" w:hAnsi="宋体" w:eastAsia="宋体"/>
        </w:rPr>
      </w:pPr>
      <w:r>
        <w:rPr>
          <w:rFonts w:hint="eastAsia" w:ascii="宋体" w:hAnsi="宋体" w:eastAsia="宋体"/>
        </w:rPr>
        <w:t>若出现药品质量问题或药品温度及质量情况不明时应立即实施追溯。</w:t>
      </w:r>
    </w:p>
    <w:p>
      <w:pPr>
        <w:pStyle w:val="68"/>
        <w:spacing w:before="156" w:after="156"/>
        <w:rPr>
          <w:rFonts w:ascii="宋体" w:hAnsi="宋体" w:eastAsia="宋体"/>
        </w:rPr>
      </w:pPr>
      <w:r>
        <w:rPr>
          <w:rFonts w:hint="eastAsia" w:ascii="宋体" w:hAnsi="宋体" w:eastAsia="宋体"/>
        </w:rPr>
        <w:t>实施追溯时，数据提供方应能整合被追溯药品供应链全过程的温湿度信息，以电子或纸质方式提供。</w:t>
      </w:r>
    </w:p>
    <w:p>
      <w:pPr>
        <w:pStyle w:val="68"/>
        <w:spacing w:before="0" w:beforeLines="0" w:after="0" w:afterLines="0"/>
        <w:rPr>
          <w:rFonts w:ascii="宋体" w:hAnsi="宋体" w:eastAsia="宋体"/>
        </w:rPr>
      </w:pPr>
      <w:r>
        <w:rPr>
          <w:rFonts w:hint="eastAsia" w:ascii="宋体" w:hAnsi="宋体" w:eastAsia="宋体"/>
        </w:rPr>
        <w:t>相关追溯的信息应及时封存，并可根据需要调取使用，以备检查。</w:t>
      </w:r>
    </w:p>
    <w:p>
      <w:pPr>
        <w:pStyle w:val="59"/>
        <w:ind w:firstLine="420"/>
      </w:pPr>
    </w:p>
    <w:p>
      <w:pPr>
        <w:pStyle w:val="59"/>
        <w:ind w:firstLine="420"/>
      </w:pPr>
    </w:p>
    <w:p>
      <w:pPr>
        <w:pStyle w:val="59"/>
        <w:ind w:firstLine="420"/>
      </w:pPr>
    </w:p>
    <w:p>
      <w:pPr>
        <w:pStyle w:val="59"/>
        <w:ind w:firstLine="420"/>
      </w:pPr>
    </w:p>
    <w:bookmarkEnd w:id="20"/>
    <w:p>
      <w:pPr>
        <w:pStyle w:val="59"/>
        <w:ind w:firstLine="420"/>
        <w:sectPr>
          <w:pgSz w:w="11906" w:h="16838"/>
          <w:pgMar w:top="1928" w:right="1134" w:bottom="1134" w:left="1134" w:header="1418" w:footer="1134" w:gutter="284"/>
          <w:pgNumType w:start="1"/>
          <w:cols w:space="425" w:num="1"/>
          <w:formProt w:val="0"/>
          <w:docGrid w:type="lines" w:linePitch="312" w:charSpace="0"/>
        </w:sectPr>
      </w:pPr>
      <w:bookmarkStart w:id="42" w:name="BookMark6"/>
    </w:p>
    <w:p>
      <w:pPr>
        <w:pStyle w:val="66"/>
        <w:spacing w:after="156"/>
      </w:pPr>
      <w:r>
        <w:rPr>
          <w:rFonts w:hint="eastAsia"/>
          <w:spacing w:val="105"/>
        </w:rPr>
        <w:t>参考文</w:t>
      </w:r>
      <w:r>
        <w:rPr>
          <w:rFonts w:hint="eastAsia"/>
        </w:rPr>
        <w:t>献</w:t>
      </w:r>
    </w:p>
    <w:p>
      <w:pPr>
        <w:pStyle w:val="59"/>
        <w:ind w:firstLine="420"/>
      </w:pPr>
      <w:r>
        <w:rPr>
          <w:rFonts w:hint="eastAsia"/>
        </w:rPr>
        <w:t>[1] NMPAB/T 1001 药品信息化追溯体系建设导则</w:t>
      </w:r>
    </w:p>
    <w:p>
      <w:pPr>
        <w:pStyle w:val="59"/>
        <w:ind w:firstLine="420"/>
      </w:pPr>
      <w:r>
        <w:rPr>
          <w:rFonts w:hint="eastAsia"/>
        </w:rPr>
        <w:t>[2] NMPAB/T 1002 药品追溯码编码要求</w:t>
      </w:r>
    </w:p>
    <w:p>
      <w:pPr>
        <w:pStyle w:val="59"/>
        <w:ind w:firstLine="420"/>
      </w:pPr>
      <w:r>
        <w:rPr>
          <w:rFonts w:hint="eastAsia"/>
        </w:rPr>
        <w:t>[3] NMPAB/T 1003 药品追溯系统基本技术要求</w:t>
      </w:r>
    </w:p>
    <w:p>
      <w:pPr>
        <w:pStyle w:val="59"/>
        <w:ind w:firstLine="420"/>
      </w:pPr>
      <w:r>
        <w:rPr>
          <w:rFonts w:hint="eastAsia"/>
        </w:rPr>
        <w:t>[4] NMPAB/T 1004 疫苗追溯基本数据集</w:t>
      </w:r>
    </w:p>
    <w:p>
      <w:pPr>
        <w:pStyle w:val="59"/>
        <w:ind w:firstLine="420"/>
      </w:pPr>
      <w:r>
        <w:rPr>
          <w:rFonts w:hint="eastAsia"/>
        </w:rPr>
        <w:t>[5] NMPAB/T 1005 疫苗追溯数据交换基本技术要求</w:t>
      </w:r>
    </w:p>
    <w:p>
      <w:pPr>
        <w:pStyle w:val="59"/>
        <w:ind w:firstLine="420"/>
      </w:pPr>
      <w:r>
        <w:rPr>
          <w:rFonts w:hint="eastAsia"/>
        </w:rPr>
        <w:t>[6] NMPAB/T 1006 药品上市许可持有人和生产企业追溯基本数据集</w:t>
      </w:r>
    </w:p>
    <w:p>
      <w:pPr>
        <w:pStyle w:val="59"/>
        <w:ind w:firstLine="420"/>
      </w:pPr>
      <w:r>
        <w:rPr>
          <w:rFonts w:hint="eastAsia"/>
        </w:rPr>
        <w:t>[7] NMPAB/T 1007 药品经营企业追溯基本数据集</w:t>
      </w:r>
    </w:p>
    <w:p>
      <w:pPr>
        <w:pStyle w:val="59"/>
        <w:ind w:firstLine="420"/>
      </w:pPr>
      <w:r>
        <w:rPr>
          <w:rFonts w:hint="eastAsia"/>
        </w:rPr>
        <w:t>[8] NMPAB/T 1008 药品使用单位追溯基本数据集</w:t>
      </w:r>
    </w:p>
    <w:p>
      <w:pPr>
        <w:pStyle w:val="59"/>
        <w:ind w:firstLine="420"/>
      </w:pPr>
      <w:r>
        <w:rPr>
          <w:rFonts w:hint="eastAsia"/>
        </w:rPr>
        <w:t>[9] NMPAB/T 1009 药品追溯消费者查询基本数据集</w:t>
      </w:r>
    </w:p>
    <w:p>
      <w:pPr>
        <w:pStyle w:val="59"/>
        <w:numPr>
          <w:ilvl w:val="255"/>
          <w:numId w:val="0"/>
        </w:numPr>
        <w:ind w:firstLine="420"/>
      </w:pPr>
      <w:r>
        <w:rPr>
          <w:rFonts w:hint="eastAsia"/>
        </w:rPr>
        <w:t>[10] NMPAB/T 1010 药品追溯数据交换基本技术要求</w:t>
      </w:r>
    </w:p>
    <w:p>
      <w:pPr>
        <w:pStyle w:val="59"/>
        <w:numPr>
          <w:ilvl w:val="255"/>
          <w:numId w:val="0"/>
        </w:numPr>
        <w:ind w:firstLine="420"/>
      </w:pPr>
      <w:r>
        <w:rPr>
          <w:rFonts w:hint="eastAsia"/>
        </w:rPr>
        <w:t>[11] NMPAB/T 1011</w:t>
      </w:r>
      <w:r>
        <w:rPr>
          <w:rFonts w:hAnsi="宋体"/>
        </w:rPr>
        <w:t xml:space="preserve"> </w:t>
      </w:r>
      <w:r>
        <w:rPr>
          <w:rFonts w:hint="eastAsia" w:hAnsi="宋体"/>
        </w:rPr>
        <w:t>药品追溯码标识规范</w:t>
      </w:r>
    </w:p>
    <w:p>
      <w:pPr>
        <w:pStyle w:val="59"/>
        <w:ind w:firstLine="420"/>
      </w:pPr>
      <w:r>
        <w:rPr>
          <w:rFonts w:hint="eastAsia"/>
        </w:rPr>
        <w:t>[12] NMPAB/T 1012</w:t>
      </w:r>
      <w:r>
        <w:rPr>
          <w:rFonts w:hAnsi="宋体"/>
        </w:rPr>
        <w:t xml:space="preserve"> </w:t>
      </w:r>
      <w:r>
        <w:rPr>
          <w:rFonts w:hint="eastAsia" w:hAnsi="宋体"/>
        </w:rPr>
        <w:t>药品追溯消费者查询结果显示规范</w:t>
      </w:r>
    </w:p>
    <w:p>
      <w:pPr>
        <w:pStyle w:val="59"/>
        <w:ind w:firstLine="420"/>
      </w:pPr>
      <w:r>
        <w:rPr>
          <w:rFonts w:hint="eastAsia"/>
        </w:rPr>
        <w:t>[13] 中华人民共和国药品管理法（中华人民共和国主席令第31号）</w:t>
      </w:r>
    </w:p>
    <w:p>
      <w:pPr>
        <w:pStyle w:val="59"/>
        <w:ind w:firstLine="420"/>
      </w:pPr>
      <w:r>
        <w:rPr>
          <w:rFonts w:hint="eastAsia"/>
        </w:rPr>
        <w:t>[14] 药品经营质量管理规范（国家食品药品监管总局令第28号）</w:t>
      </w:r>
    </w:p>
    <w:p>
      <w:pPr>
        <w:pStyle w:val="59"/>
        <w:ind w:firstLine="420"/>
      </w:pPr>
    </w:p>
    <w:bookmarkEnd w:id="42"/>
    <w:p>
      <w:pPr>
        <w:pStyle w:val="59"/>
        <w:ind w:firstLine="0" w:firstLineChars="0"/>
        <w:jc w:val="center"/>
      </w:pPr>
      <w:bookmarkStart w:id="4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pgSz w:w="11906" w:h="16838"/>
      <w:pgMar w:top="1928" w:right="1134" w:bottom="1134" w:left="1134" w:header="1418" w:footer="1134" w:gutter="284"/>
      <w:pgNumType w:start="0"/>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attachedTemplate r:id="rId1"/>
  <w:trackRevisions w:val="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 w:name="KSO_WPS_MARK_KEY" w:val="093b25b3-4e3e-478e-90ed-69ae7135f1e7"/>
  </w:docVars>
  <w:rsids>
    <w:rsidRoot w:val="00C234B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6C9E"/>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0DB2"/>
    <w:rsid w:val="00124E4F"/>
    <w:rsid w:val="001260B7"/>
    <w:rsid w:val="001265CB"/>
    <w:rsid w:val="001277BF"/>
    <w:rsid w:val="001321C6"/>
    <w:rsid w:val="001325C4"/>
    <w:rsid w:val="00133010"/>
    <w:rsid w:val="00133759"/>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4AB"/>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743F"/>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57D74"/>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2FB"/>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1C80"/>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B6DD3"/>
    <w:rsid w:val="003C010C"/>
    <w:rsid w:val="003C0A6C"/>
    <w:rsid w:val="003C5A43"/>
    <w:rsid w:val="003D0519"/>
    <w:rsid w:val="003D0FF6"/>
    <w:rsid w:val="003D262C"/>
    <w:rsid w:val="003D6D61"/>
    <w:rsid w:val="003E091D"/>
    <w:rsid w:val="003E1C53"/>
    <w:rsid w:val="003E2A69"/>
    <w:rsid w:val="003E2D49"/>
    <w:rsid w:val="003E2FD4"/>
    <w:rsid w:val="003E3071"/>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DF7"/>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5695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4C"/>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4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2C87"/>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08E4"/>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373"/>
    <w:rsid w:val="00851342"/>
    <w:rsid w:val="0085173A"/>
    <w:rsid w:val="008603CE"/>
    <w:rsid w:val="008620FC"/>
    <w:rsid w:val="008627A5"/>
    <w:rsid w:val="00863E05"/>
    <w:rsid w:val="00865ACA"/>
    <w:rsid w:val="00865D28"/>
    <w:rsid w:val="00865F85"/>
    <w:rsid w:val="00867C10"/>
    <w:rsid w:val="00870439"/>
    <w:rsid w:val="00870DA1"/>
    <w:rsid w:val="00872B46"/>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19C4"/>
    <w:rsid w:val="008A769A"/>
    <w:rsid w:val="008B0C9C"/>
    <w:rsid w:val="008B166D"/>
    <w:rsid w:val="008B17F4"/>
    <w:rsid w:val="008B1E2A"/>
    <w:rsid w:val="008B3615"/>
    <w:rsid w:val="008B4AC4"/>
    <w:rsid w:val="008B50C8"/>
    <w:rsid w:val="008B5281"/>
    <w:rsid w:val="008B6173"/>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DB3"/>
    <w:rsid w:val="009D50D2"/>
    <w:rsid w:val="009D6BCA"/>
    <w:rsid w:val="009E0F62"/>
    <w:rsid w:val="009E4A58"/>
    <w:rsid w:val="009E5A2D"/>
    <w:rsid w:val="009E5AB2"/>
    <w:rsid w:val="009E6219"/>
    <w:rsid w:val="009F03B3"/>
    <w:rsid w:val="00A012E0"/>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477DF"/>
    <w:rsid w:val="00A47A38"/>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15F2A"/>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3066"/>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79B"/>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34BD"/>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3D04"/>
    <w:rsid w:val="00C80CB8"/>
    <w:rsid w:val="00C819F8"/>
    <w:rsid w:val="00C8248C"/>
    <w:rsid w:val="00C84E33"/>
    <w:rsid w:val="00C86D6F"/>
    <w:rsid w:val="00C905FC"/>
    <w:rsid w:val="00C92AF8"/>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3F8A"/>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DF57C5"/>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068"/>
    <w:rsid w:val="00F859A8"/>
    <w:rsid w:val="00F91082"/>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620"/>
    <w:rsid w:val="00FE576A"/>
    <w:rsid w:val="00FE61CF"/>
    <w:rsid w:val="00FE7E79"/>
    <w:rsid w:val="00FF3E7D"/>
    <w:rsid w:val="00FF5B99"/>
    <w:rsid w:val="00FF730C"/>
    <w:rsid w:val="00FF73F4"/>
    <w:rsid w:val="00FF7CE4"/>
    <w:rsid w:val="00FF7E39"/>
    <w:rsid w:val="05D2339D"/>
    <w:rsid w:val="09927F61"/>
    <w:rsid w:val="0E7C13D9"/>
    <w:rsid w:val="0FA71D88"/>
    <w:rsid w:val="1D525342"/>
    <w:rsid w:val="21F73A20"/>
    <w:rsid w:val="22475196"/>
    <w:rsid w:val="30B8125D"/>
    <w:rsid w:val="315F60E1"/>
    <w:rsid w:val="46F10EA7"/>
    <w:rsid w:val="49507E2D"/>
    <w:rsid w:val="63626C83"/>
    <w:rsid w:val="6D361E48"/>
    <w:rsid w:val="75D22ECD"/>
    <w:rsid w:val="7AC3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3"/>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4"/>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修订1"/>
    <w:hidden/>
    <w:semiHidden/>
    <w:qFormat/>
    <w:uiPriority w:val="99"/>
    <w:rPr>
      <w:rFonts w:ascii="Calibri" w:hAnsi="Calibri" w:eastAsia="宋体" w:cs="Times New Roman"/>
      <w:kern w:val="2"/>
      <w:sz w:val="21"/>
      <w:szCs w:val="21"/>
      <w:lang w:val="en-US" w:eastAsia="zh-CN" w:bidi="ar-SA"/>
    </w:rPr>
  </w:style>
  <w:style w:type="character" w:customStyle="1" w:styleId="233">
    <w:name w:val="批注文字 字符"/>
    <w:basedOn w:val="30"/>
    <w:link w:val="13"/>
    <w:semiHidden/>
    <w:qFormat/>
    <w:uiPriority w:val="99"/>
    <w:rPr>
      <w:kern w:val="2"/>
      <w:sz w:val="21"/>
      <w:szCs w:val="21"/>
    </w:rPr>
  </w:style>
  <w:style w:type="character" w:customStyle="1" w:styleId="234">
    <w:name w:val="批注主题 字符"/>
    <w:basedOn w:val="233"/>
    <w:link w:val="27"/>
    <w:semiHidden/>
    <w:qFormat/>
    <w:uiPriority w:val="99"/>
    <w:rPr>
      <w:b/>
      <w:bCs/>
      <w:kern w:val="2"/>
      <w:sz w:val="21"/>
      <w:szCs w:val="21"/>
    </w:rPr>
  </w:style>
  <w:style w:type="paragraph" w:customStyle="1" w:styleId="235">
    <w:name w:val="修订2"/>
    <w:hidden/>
    <w:semiHidden/>
    <w:qFormat/>
    <w:uiPriority w:val="99"/>
    <w:rPr>
      <w:rFonts w:ascii="Calibri" w:hAnsi="Calibri" w:eastAsia="宋体" w:cs="Times New Roman"/>
      <w:kern w:val="2"/>
      <w:sz w:val="21"/>
      <w:szCs w:val="21"/>
      <w:lang w:val="en-US" w:eastAsia="zh-CN" w:bidi="ar-SA"/>
    </w:rPr>
  </w:style>
  <w:style w:type="paragraph" w:customStyle="1" w:styleId="236">
    <w:name w:val="修订3"/>
    <w:hidden/>
    <w:semiHidden/>
    <w:qFormat/>
    <w:uiPriority w:val="99"/>
    <w:rPr>
      <w:rFonts w:ascii="Calibri" w:hAnsi="Calibri" w:eastAsia="宋体" w:cs="Times New Roman"/>
      <w:kern w:val="2"/>
      <w:sz w:val="21"/>
      <w:szCs w:val="21"/>
      <w:lang w:val="en-US" w:eastAsia="zh-CN" w:bidi="ar-SA"/>
    </w:rPr>
  </w:style>
  <w:style w:type="paragraph" w:customStyle="1" w:styleId="237">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50744F96A34D8AB22D49FE27A680E3"/>
        <w:style w:val=""/>
        <w:category>
          <w:name w:val="常规"/>
          <w:gallery w:val="placeholder"/>
        </w:category>
        <w:types>
          <w:type w:val="bbPlcHdr"/>
        </w:types>
        <w:behaviors>
          <w:behavior w:val="content"/>
        </w:behaviors>
        <w:description w:val=""/>
        <w:guid w:val="{0D5443D7-39CB-4688-9810-4E38813747BD}"/>
      </w:docPartPr>
      <w:docPartBody>
        <w:p>
          <w:pPr>
            <w:pStyle w:val="5"/>
          </w:pPr>
          <w:r>
            <w:rPr>
              <w:rStyle w:val="4"/>
              <w:rFonts w:hint="eastAsia"/>
            </w:rPr>
            <w:t>单击或点击此处输入文字。</w:t>
          </w:r>
        </w:p>
      </w:docPartBody>
    </w:docPart>
    <w:docPart>
      <w:docPartPr>
        <w:name w:val="858C3E70AA5142D78CD3C441E1F2AB56"/>
        <w:style w:val=""/>
        <w:category>
          <w:name w:val="常规"/>
          <w:gallery w:val="placeholder"/>
        </w:category>
        <w:types>
          <w:type w:val="bbPlcHdr"/>
        </w:types>
        <w:behaviors>
          <w:behavior w:val="content"/>
        </w:behaviors>
        <w:description w:val=""/>
        <w:guid w:val="{228EA550-A85C-4A40-B8C6-2C95A118244C}"/>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4"/>
    <w:rsid w:val="000507FA"/>
    <w:rsid w:val="001E6D22"/>
    <w:rsid w:val="00280048"/>
    <w:rsid w:val="00291B3A"/>
    <w:rsid w:val="002D6634"/>
    <w:rsid w:val="003B4663"/>
    <w:rsid w:val="003D16CA"/>
    <w:rsid w:val="0040795A"/>
    <w:rsid w:val="00494337"/>
    <w:rsid w:val="004D588E"/>
    <w:rsid w:val="008F68C4"/>
    <w:rsid w:val="00974B26"/>
    <w:rsid w:val="00C24E72"/>
    <w:rsid w:val="00CE6724"/>
    <w:rsid w:val="00FE46E2"/>
    <w:rsid w:val="00FF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050744F96A34D8AB22D49FE27A6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58C3E70AA5142D78CD3C441E1F2AB5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58E82-E350-4F69-915A-55704EF1DE10}">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Pages>
  <Words>494</Words>
  <Characters>2821</Characters>
  <Lines>23</Lines>
  <Paragraphs>6</Paragraphs>
  <TotalTime>0</TotalTime>
  <ScaleCrop>false</ScaleCrop>
  <LinksUpToDate>false</LinksUpToDate>
  <CharactersWithSpaces>3309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2023-03-09T03:42:00Z</dcterms:created>
  <dc:creator>刘小洋</dc:creator>
  <dc:description>&lt;config cover="true" show_menu="true" version="1.0.0" doctype="SDKXY"&gt;_x000d_
&lt;/config&gt;</dc:description>
  <cp:lastModifiedBy>嘻嘻嘻嘻哈</cp:lastModifiedBy>
  <cp:lastPrinted>2021-02-02T07:44:00Z</cp:lastPrinted>
  <dcterms:modified xsi:type="dcterms:W3CDTF">2023-03-13T09:42:23Z</dcterms:modified>
  <dc:title>国家标准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2052-11.1.0.12970</vt:lpwstr>
  </property>
  <property fmtid="{D5CDD505-2E9C-101B-9397-08002B2CF9AE}" pid="15" name="ICV">
    <vt:lpwstr>F84E5A71A6EE4C8CA9619E4063ACC313</vt:lpwstr>
  </property>
</Properties>
</file>