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eastAsiaTheme="minorEastAsia"/>
          <w:b/>
          <w:bCs/>
          <w:color w:val="auto"/>
          <w:sz w:val="32"/>
          <w:szCs w:val="32"/>
          <w:highlight w:val="none"/>
          <w:lang w:val="en-US" w:eastAsia="zh-CN"/>
        </w:rPr>
      </w:pPr>
      <w:r>
        <w:rPr>
          <w:rFonts w:hint="eastAsia"/>
          <w:b/>
          <w:bCs/>
          <w:color w:val="auto"/>
          <w:sz w:val="32"/>
          <w:szCs w:val="32"/>
          <w:highlight w:val="none"/>
          <w:lang w:eastAsia="zh-CN"/>
        </w:rPr>
        <w:t>《网络零售药品配送服务规范》行业标准</w:t>
      </w:r>
      <w:r>
        <w:rPr>
          <w:rFonts w:hint="eastAsia"/>
          <w:b/>
          <w:bCs/>
          <w:color w:val="auto"/>
          <w:sz w:val="32"/>
          <w:szCs w:val="32"/>
          <w:highlight w:val="none"/>
          <w:lang w:val="en-US" w:eastAsia="zh-CN"/>
        </w:rPr>
        <w:t>（征求意见稿）</w:t>
      </w:r>
    </w:p>
    <w:p>
      <w:pPr>
        <w:jc w:val="center"/>
        <w:rPr>
          <w:rFonts w:hint="eastAsia"/>
          <w:b/>
          <w:bCs/>
          <w:color w:val="auto"/>
          <w:sz w:val="32"/>
          <w:szCs w:val="32"/>
          <w:highlight w:val="none"/>
        </w:rPr>
      </w:pPr>
      <w:r>
        <w:rPr>
          <w:rFonts w:hint="eastAsia"/>
          <w:b/>
          <w:bCs/>
          <w:color w:val="auto"/>
          <w:sz w:val="32"/>
          <w:szCs w:val="32"/>
          <w:highlight w:val="none"/>
        </w:rPr>
        <w:t>编制说明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lang w:val="en-US" w:eastAsia="zh-CN"/>
        </w:rPr>
        <w:t>一、</w:t>
      </w:r>
      <w:r>
        <w:rPr>
          <w:rFonts w:hint="eastAsia" w:ascii="黑体" w:hAnsi="黑体" w:eastAsia="黑体" w:cs="黑体"/>
          <w:color w:val="auto"/>
          <w:sz w:val="32"/>
          <w:szCs w:val="32"/>
          <w:highlight w:val="none"/>
        </w:rPr>
        <w:t>工作简况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color w:val="auto"/>
          <w:sz w:val="32"/>
          <w:szCs w:val="32"/>
          <w:highlight w:val="none"/>
          <w:lang w:val="en-US" w:eastAsia="zh-CN"/>
        </w:rPr>
      </w:pPr>
      <w:r>
        <w:rPr>
          <w:rFonts w:hint="eastAsia"/>
          <w:color w:val="auto"/>
          <w:sz w:val="32"/>
          <w:szCs w:val="32"/>
          <w:highlight w:val="none"/>
          <w:lang w:val="en-US" w:eastAsia="zh-CN"/>
        </w:rPr>
        <w:t>（一）</w:t>
      </w:r>
      <w:r>
        <w:rPr>
          <w:rFonts w:hint="eastAsia"/>
          <w:color w:val="auto"/>
          <w:sz w:val="32"/>
          <w:szCs w:val="32"/>
          <w:highlight w:val="none"/>
        </w:rPr>
        <w:t>任务来源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2022年11月30日，国家发展改革委办公厅印发了《关于推荐性物流行业标准项目计划的复函》，批准《网络零售药品配送服务规范》行业标准立项，项目编号：303-2022-004。该标准由中国物流与采购联合会医药物流分会组织起草，全国物流标准化技术委员会归口。</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textAlignment w:val="auto"/>
        <w:rPr>
          <w:rFonts w:hint="eastAsia"/>
          <w:color w:val="auto"/>
          <w:sz w:val="32"/>
          <w:szCs w:val="32"/>
          <w:highlight w:val="none"/>
        </w:rPr>
      </w:pPr>
      <w:r>
        <w:rPr>
          <w:rFonts w:hint="eastAsia"/>
          <w:color w:val="auto"/>
          <w:sz w:val="32"/>
          <w:szCs w:val="32"/>
          <w:highlight w:val="none"/>
        </w:rPr>
        <w:t>制定背景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近年，国家陆续出台了许多政策为医药新零售发展提供的大力支持。如新修订的《药品管理法》解禁网售处方药,为医药企业带来新的增长机会；出台的《国务院关于进一步改革完善药品生产流通使用政策的若干意见》中指出：培育大型现代药品流通骨干企业，中小企业向分销配送模式转型, 推进“互联网+药品流通”，鼓励网订店取，网订店配等新型配送方式；《国务院办公厅关于改革完善医疗卫生行业综合监管制度的指导意见》中也提到要针对“互联网+医疗健康”等医药卫生服务新技术、新设备、新业态等，加快标准制修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互联网诊疗管理办法（试行）》、《互联网医院管理办法（试行）》规定处方经药师审核合格后方可生效，医疗机构、药品经营企业可委托符合条件的第三方机构配送。医药新零售模式正在逐步发展壮大，消费者关于药品配送的个性化要求越来越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《药品经营质量管理规范 附录6：药品零售配送质量管理》的出台，对药品零售企业在药品零售过程（含通过网络零售）所涉及的药品配送行为的质量管理进行规定，并没有直接对网络零售药品配送服务提供方进行规定。同时《规范》规定了制度、人员培训、设施设备、配送等方面，但规定配送方面的内容较少。为了加强内容的指导性，本标准在《规范》的基础上，进一步细化、补充和完善了网络零售药品配送的服务流程要求、档案管理、应急处置等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为促进医药新零售业务规模化、规范化发展，中国物流与采购联合会组织起草该标准，希望能将网络零售药品配送等的流程和操作标准化、规范化。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color w:val="auto"/>
          <w:sz w:val="32"/>
          <w:szCs w:val="32"/>
          <w:highlight w:val="none"/>
          <w:lang w:val="en-US" w:eastAsia="zh-CN"/>
        </w:rPr>
      </w:pPr>
      <w:r>
        <w:rPr>
          <w:rFonts w:hint="eastAsia"/>
          <w:color w:val="auto"/>
          <w:sz w:val="32"/>
          <w:szCs w:val="32"/>
          <w:highlight w:val="none"/>
          <w:lang w:val="en-US" w:eastAsia="zh-CN"/>
        </w:rPr>
        <w:t>（三）主要</w:t>
      </w:r>
      <w:r>
        <w:rPr>
          <w:rFonts w:hint="eastAsia"/>
          <w:color w:val="auto"/>
          <w:sz w:val="32"/>
          <w:szCs w:val="32"/>
          <w:highlight w:val="none"/>
        </w:rPr>
        <w:t>起草过程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（1）预研阶段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2022年，由中物联医药物流分会和外聘专家孟国栋提出了制定网络零售药品配送的提议，并着手开展标准制定工作。经过前期对网络零售行业市场情况及多次沟通，决定成立标准专项起草小组。于2022年12月形成标准草案，提交物标委。</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（2）立项阶段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1.2022年2月28日，标准项目参加了全国物流标准化技术委员会在京召开的“2023年拟立项物流标准专家评估会”，并通过立项评估。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2.2022年11月30日，国家发展改革委办公厅印发了《关于推荐性物流行业标准项目计划的复函》，《网络零售药品配送服务规范》行业标准被正式批准立项。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（3）起草阶段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1.2023年1月到2023年3月，此项标准面向社会公开征集起草单位，并于2023年4月成立起草小组。标准起草小组由郭威总体负责。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3.2023年4月24日，《网络零售药品配送服务规范》行业标准启动会在武汉成功召开。会议上各起草单位代表对该标准的范围、框架等内容进行了讨论，提出了诸多建设性的意见，并明确了标准制定的工作进度计划。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4.2023年5月-7月，《网络零售药品配送服务规范》行业标准开展内部、外部线上调研工作（调研名单见表1）。共收集13条意见。</w:t>
      </w:r>
    </w:p>
    <w:tbl>
      <w:tblPr>
        <w:tblStyle w:val="10"/>
        <w:tblW w:w="65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Layout w:type="autofit"/>
        <w:tblCellMar>
          <w:top w:w="0" w:type="dxa"/>
          <w:left w:w="108" w:type="dxa"/>
          <w:bottom w:w="0" w:type="dxa"/>
          <w:right w:w="108" w:type="dxa"/>
        </w:tblCellMar>
      </w:tblPr>
      <w:tblGrid>
        <w:gridCol w:w="1395"/>
        <w:gridCol w:w="5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PrEx>
        <w:trPr>
          <w:trHeight w:val="302" w:hRule="atLeast"/>
          <w:jc w:val="center"/>
        </w:trPr>
        <w:tc>
          <w:tcPr>
            <w:tcW w:w="1395" w:type="dxa"/>
            <w:shd w:val="clear" w:color="000000"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楷体" w:hAnsi="楷体" w:eastAsia="楷体" w:cs="楷体"/>
                <w:color w:val="auto"/>
                <w:szCs w:val="21"/>
                <w:highlight w:val="none"/>
              </w:rPr>
            </w:pPr>
            <w:r>
              <w:rPr>
                <w:rFonts w:hint="eastAsia" w:ascii="楷体" w:hAnsi="楷体" w:eastAsia="楷体" w:cs="楷体"/>
                <w:color w:val="auto"/>
                <w:szCs w:val="21"/>
                <w:highlight w:val="none"/>
              </w:rPr>
              <w:t>序号</w:t>
            </w:r>
          </w:p>
        </w:tc>
        <w:tc>
          <w:tcPr>
            <w:tcW w:w="5139" w:type="dxa"/>
            <w:shd w:val="clear" w:color="000000" w:fill="auto"/>
            <w:vAlign w:val="center"/>
          </w:tcPr>
          <w:p>
            <w:pPr>
              <w:jc w:val="center"/>
              <w:rPr>
                <w:rFonts w:hint="eastAsia" w:ascii="楷体" w:hAnsi="楷体" w:eastAsia="楷体" w:cs="楷体"/>
                <w:color w:val="auto"/>
                <w:szCs w:val="21"/>
                <w:highlight w:val="none"/>
              </w:rPr>
            </w:pPr>
            <w:r>
              <w:rPr>
                <w:rFonts w:hint="eastAsia" w:ascii="楷体" w:hAnsi="楷体" w:eastAsia="楷体" w:cs="楷体"/>
                <w:color w:val="auto"/>
                <w:szCs w:val="21"/>
                <w:highlight w:val="none"/>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395" w:type="dxa"/>
            <w:shd w:val="clear" w:color="000000" w:fill="auto"/>
            <w:vAlign w:val="center"/>
          </w:tcPr>
          <w:p>
            <w:pPr>
              <w:keepNext w:val="0"/>
              <w:keepLines w:val="0"/>
              <w:pageBreakBefore w:val="0"/>
              <w:widowControl w:val="0"/>
              <w:numPr>
                <w:ilvl w:val="0"/>
                <w:numId w:val="3"/>
              </w:numPr>
              <w:kinsoku/>
              <w:wordWrap/>
              <w:overflowPunct/>
              <w:topLinePunct w:val="0"/>
              <w:autoSpaceDE/>
              <w:autoSpaceDN/>
              <w:bidi w:val="0"/>
              <w:adjustRightInd/>
              <w:snapToGrid/>
              <w:ind w:left="635" w:leftChars="0" w:firstLineChars="0"/>
              <w:jc w:val="center"/>
              <w:textAlignment w:val="auto"/>
              <w:rPr>
                <w:rFonts w:hint="eastAsia" w:ascii="楷体" w:hAnsi="楷体" w:eastAsia="楷体" w:cs="楷体"/>
                <w:color w:val="auto"/>
                <w:szCs w:val="21"/>
                <w:highlight w:val="none"/>
              </w:rPr>
            </w:pPr>
          </w:p>
        </w:tc>
        <w:tc>
          <w:tcPr>
            <w:tcW w:w="5139" w:type="dxa"/>
            <w:shd w:val="clear" w:color="000000" w:fill="auto"/>
            <w:vAlign w:val="center"/>
          </w:tcPr>
          <w:p>
            <w:pPr>
              <w:widowControl/>
              <w:textAlignment w:val="center"/>
              <w:rPr>
                <w:rFonts w:hint="eastAsia" w:ascii="楷体" w:hAnsi="楷体" w:eastAsia="楷体" w:cs="楷体"/>
                <w:color w:val="auto"/>
                <w:kern w:val="0"/>
                <w:szCs w:val="21"/>
                <w:highlight w:val="none"/>
              </w:rPr>
            </w:pPr>
            <w:r>
              <w:rPr>
                <w:rFonts w:hint="eastAsia" w:ascii="楷体" w:hAnsi="楷体" w:eastAsia="楷体" w:cs="楷体"/>
                <w:color w:val="auto"/>
                <w:kern w:val="0"/>
                <w:szCs w:val="21"/>
                <w:highlight w:val="none"/>
                <w:lang w:val="en-US" w:eastAsia="zh-CN"/>
              </w:rPr>
              <w:t>美团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1395" w:type="dxa"/>
            <w:shd w:val="clear" w:color="000000" w:fill="auto"/>
            <w:vAlign w:val="center"/>
          </w:tcPr>
          <w:p>
            <w:pPr>
              <w:keepNext w:val="0"/>
              <w:keepLines w:val="0"/>
              <w:pageBreakBefore w:val="0"/>
              <w:widowControl w:val="0"/>
              <w:numPr>
                <w:ilvl w:val="0"/>
                <w:numId w:val="3"/>
              </w:numPr>
              <w:kinsoku/>
              <w:wordWrap/>
              <w:overflowPunct/>
              <w:topLinePunct w:val="0"/>
              <w:autoSpaceDE/>
              <w:autoSpaceDN/>
              <w:bidi w:val="0"/>
              <w:adjustRightInd/>
              <w:snapToGrid/>
              <w:ind w:left="635" w:leftChars="0" w:firstLineChars="0"/>
              <w:jc w:val="center"/>
              <w:textAlignment w:val="auto"/>
              <w:rPr>
                <w:rFonts w:hint="eastAsia" w:ascii="楷体" w:hAnsi="楷体" w:eastAsia="楷体" w:cs="楷体"/>
                <w:color w:val="auto"/>
                <w:szCs w:val="21"/>
                <w:highlight w:val="none"/>
              </w:rPr>
            </w:pPr>
          </w:p>
        </w:tc>
        <w:tc>
          <w:tcPr>
            <w:tcW w:w="5139" w:type="dxa"/>
            <w:shd w:val="clear" w:color="000000" w:fill="auto"/>
            <w:vAlign w:val="center"/>
          </w:tcPr>
          <w:p>
            <w:pPr>
              <w:widowControl/>
              <w:textAlignment w:val="center"/>
              <w:rPr>
                <w:rFonts w:hint="default" w:ascii="楷体" w:hAnsi="楷体" w:eastAsia="楷体" w:cs="楷体"/>
                <w:color w:val="auto"/>
                <w:szCs w:val="21"/>
                <w:highlight w:val="none"/>
                <w:lang w:val="en-US" w:eastAsia="zh-CN"/>
              </w:rPr>
            </w:pPr>
            <w:r>
              <w:rPr>
                <w:rFonts w:hint="eastAsia" w:ascii="楷体" w:hAnsi="楷体" w:eastAsia="楷体" w:cs="楷体"/>
                <w:color w:val="auto"/>
                <w:kern w:val="0"/>
                <w:szCs w:val="21"/>
                <w:highlight w:val="none"/>
                <w:lang w:val="en-US" w:eastAsia="zh-CN"/>
              </w:rPr>
              <w:t>京东大健康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395" w:type="dxa"/>
            <w:shd w:val="clear" w:color="000000" w:fill="auto"/>
            <w:vAlign w:val="center"/>
          </w:tcPr>
          <w:p>
            <w:pPr>
              <w:keepNext w:val="0"/>
              <w:keepLines w:val="0"/>
              <w:pageBreakBefore w:val="0"/>
              <w:widowControl w:val="0"/>
              <w:numPr>
                <w:ilvl w:val="0"/>
                <w:numId w:val="3"/>
              </w:numPr>
              <w:kinsoku/>
              <w:wordWrap/>
              <w:overflowPunct/>
              <w:topLinePunct w:val="0"/>
              <w:autoSpaceDE/>
              <w:autoSpaceDN/>
              <w:bidi w:val="0"/>
              <w:adjustRightInd/>
              <w:snapToGrid/>
              <w:ind w:left="635" w:leftChars="0" w:firstLineChars="0"/>
              <w:jc w:val="center"/>
              <w:textAlignment w:val="auto"/>
              <w:rPr>
                <w:rFonts w:hint="eastAsia" w:ascii="楷体" w:hAnsi="楷体" w:eastAsia="楷体" w:cs="楷体"/>
                <w:color w:val="auto"/>
                <w:szCs w:val="21"/>
                <w:highlight w:val="none"/>
              </w:rPr>
            </w:pPr>
          </w:p>
        </w:tc>
        <w:tc>
          <w:tcPr>
            <w:tcW w:w="5139" w:type="dxa"/>
            <w:shd w:val="clear" w:color="000000" w:fill="auto"/>
            <w:vAlign w:val="top"/>
          </w:tcPr>
          <w:p>
            <w:pPr>
              <w:widowControl/>
              <w:textAlignment w:val="center"/>
              <w:rPr>
                <w:rFonts w:hint="eastAsia" w:ascii="楷体" w:hAnsi="楷体" w:eastAsia="楷体" w:cs="楷体"/>
                <w:color w:val="auto"/>
                <w:kern w:val="0"/>
                <w:szCs w:val="21"/>
                <w:highlight w:val="none"/>
                <w:lang w:val="en-US" w:eastAsia="zh-CN"/>
              </w:rPr>
            </w:pPr>
            <w:r>
              <w:rPr>
                <w:rFonts w:hint="eastAsia" w:ascii="楷体" w:hAnsi="楷体" w:eastAsia="楷体" w:cs="楷体"/>
                <w:color w:val="auto"/>
                <w:kern w:val="0"/>
                <w:szCs w:val="21"/>
                <w:highlight w:val="none"/>
                <w:lang w:val="en-US" w:eastAsia="zh-CN"/>
              </w:rPr>
              <w:t>鹭燕医药股份有限公司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395" w:type="dxa"/>
            <w:shd w:val="clear" w:color="000000" w:fill="auto"/>
            <w:vAlign w:val="center"/>
          </w:tcPr>
          <w:p>
            <w:pPr>
              <w:keepNext w:val="0"/>
              <w:keepLines w:val="0"/>
              <w:pageBreakBefore w:val="0"/>
              <w:widowControl w:val="0"/>
              <w:numPr>
                <w:ilvl w:val="0"/>
                <w:numId w:val="3"/>
              </w:numPr>
              <w:kinsoku/>
              <w:wordWrap/>
              <w:overflowPunct/>
              <w:topLinePunct w:val="0"/>
              <w:autoSpaceDE/>
              <w:autoSpaceDN/>
              <w:bidi w:val="0"/>
              <w:adjustRightInd/>
              <w:snapToGrid/>
              <w:ind w:left="635" w:leftChars="0" w:firstLineChars="0"/>
              <w:jc w:val="center"/>
              <w:textAlignment w:val="auto"/>
              <w:rPr>
                <w:rFonts w:hint="eastAsia" w:ascii="楷体" w:hAnsi="楷体" w:eastAsia="楷体" w:cs="楷体"/>
                <w:color w:val="auto"/>
                <w:szCs w:val="21"/>
                <w:highlight w:val="none"/>
              </w:rPr>
            </w:pPr>
          </w:p>
        </w:tc>
        <w:tc>
          <w:tcPr>
            <w:tcW w:w="5139" w:type="dxa"/>
            <w:shd w:val="clear" w:color="000000" w:fill="auto"/>
            <w:vAlign w:val="top"/>
          </w:tcPr>
          <w:p>
            <w:pPr>
              <w:widowControl/>
              <w:textAlignment w:val="center"/>
              <w:rPr>
                <w:rFonts w:hint="default" w:ascii="楷体" w:hAnsi="楷体" w:eastAsia="楷体" w:cs="楷体"/>
                <w:color w:val="auto"/>
                <w:kern w:val="0"/>
                <w:szCs w:val="21"/>
                <w:highlight w:val="none"/>
                <w:lang w:val="en-US" w:eastAsia="zh-CN"/>
              </w:rPr>
            </w:pPr>
            <w:r>
              <w:rPr>
                <w:rFonts w:hint="eastAsia" w:ascii="楷体" w:hAnsi="楷体" w:eastAsia="楷体" w:cs="楷体"/>
                <w:color w:val="auto"/>
                <w:kern w:val="0"/>
                <w:szCs w:val="21"/>
                <w:highlight w:val="none"/>
                <w:lang w:val="en-US" w:eastAsia="zh-CN"/>
              </w:rPr>
              <w:t>青岛海尔生物医疗股份有限公司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395" w:type="dxa"/>
            <w:shd w:val="clear" w:color="000000" w:fill="auto"/>
            <w:vAlign w:val="center"/>
          </w:tcPr>
          <w:p>
            <w:pPr>
              <w:keepNext w:val="0"/>
              <w:keepLines w:val="0"/>
              <w:pageBreakBefore w:val="0"/>
              <w:widowControl w:val="0"/>
              <w:numPr>
                <w:ilvl w:val="0"/>
                <w:numId w:val="3"/>
              </w:numPr>
              <w:kinsoku/>
              <w:wordWrap/>
              <w:overflowPunct/>
              <w:topLinePunct w:val="0"/>
              <w:autoSpaceDE/>
              <w:autoSpaceDN/>
              <w:bidi w:val="0"/>
              <w:adjustRightInd/>
              <w:snapToGrid/>
              <w:ind w:left="635" w:leftChars="0" w:firstLineChars="0"/>
              <w:jc w:val="center"/>
              <w:textAlignment w:val="auto"/>
              <w:rPr>
                <w:rFonts w:hint="eastAsia" w:ascii="楷体" w:hAnsi="楷体" w:eastAsia="楷体" w:cs="楷体"/>
                <w:color w:val="auto"/>
                <w:szCs w:val="21"/>
                <w:highlight w:val="none"/>
              </w:rPr>
            </w:pPr>
          </w:p>
        </w:tc>
        <w:tc>
          <w:tcPr>
            <w:tcW w:w="5139" w:type="dxa"/>
            <w:shd w:val="clear" w:color="000000" w:fill="auto"/>
            <w:vAlign w:val="top"/>
          </w:tcPr>
          <w:p>
            <w:pPr>
              <w:widowControl/>
              <w:textAlignment w:val="center"/>
              <w:rPr>
                <w:rFonts w:hint="default" w:ascii="楷体" w:hAnsi="楷体" w:eastAsia="楷体" w:cs="楷体"/>
                <w:color w:val="auto"/>
                <w:kern w:val="0"/>
                <w:szCs w:val="21"/>
                <w:highlight w:val="none"/>
                <w:lang w:val="en-US" w:eastAsia="zh-CN"/>
              </w:rPr>
            </w:pPr>
            <w:r>
              <w:rPr>
                <w:rFonts w:hint="default" w:ascii="楷体" w:hAnsi="楷体" w:eastAsia="楷体" w:cs="楷体"/>
                <w:color w:val="auto"/>
                <w:kern w:val="0"/>
                <w:szCs w:val="21"/>
                <w:highlight w:val="none"/>
                <w:lang w:val="en-US" w:eastAsia="zh-CN"/>
              </w:rPr>
              <w:t>重庆桐君阁股份有限公司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395" w:type="dxa"/>
            <w:shd w:val="clear" w:color="000000" w:fill="auto"/>
            <w:vAlign w:val="center"/>
          </w:tcPr>
          <w:p>
            <w:pPr>
              <w:keepNext w:val="0"/>
              <w:keepLines w:val="0"/>
              <w:pageBreakBefore w:val="0"/>
              <w:widowControl w:val="0"/>
              <w:numPr>
                <w:ilvl w:val="0"/>
                <w:numId w:val="3"/>
              </w:numPr>
              <w:kinsoku/>
              <w:wordWrap/>
              <w:overflowPunct/>
              <w:topLinePunct w:val="0"/>
              <w:autoSpaceDE/>
              <w:autoSpaceDN/>
              <w:bidi w:val="0"/>
              <w:adjustRightInd/>
              <w:snapToGrid/>
              <w:ind w:left="635" w:leftChars="0" w:firstLineChars="0"/>
              <w:jc w:val="center"/>
              <w:textAlignment w:val="auto"/>
              <w:rPr>
                <w:rFonts w:hint="eastAsia" w:ascii="楷体" w:hAnsi="楷体" w:eastAsia="楷体" w:cs="楷体"/>
                <w:color w:val="auto"/>
                <w:szCs w:val="21"/>
                <w:highlight w:val="none"/>
              </w:rPr>
            </w:pPr>
          </w:p>
        </w:tc>
        <w:tc>
          <w:tcPr>
            <w:tcW w:w="5139" w:type="dxa"/>
            <w:shd w:val="clear" w:color="000000" w:fill="auto"/>
            <w:vAlign w:val="top"/>
          </w:tcPr>
          <w:p>
            <w:pPr>
              <w:widowControl/>
              <w:textAlignment w:val="center"/>
              <w:rPr>
                <w:rFonts w:hint="eastAsia" w:ascii="楷体" w:hAnsi="楷体" w:eastAsia="楷体" w:cs="楷体"/>
                <w:color w:val="auto"/>
                <w:kern w:val="0"/>
                <w:szCs w:val="21"/>
                <w:highlight w:val="none"/>
                <w:lang w:val="en-US" w:eastAsia="zh-CN"/>
              </w:rPr>
            </w:pPr>
            <w:r>
              <w:rPr>
                <w:rFonts w:hint="eastAsia" w:ascii="楷体" w:hAnsi="楷体" w:eastAsia="楷体" w:cs="楷体"/>
                <w:color w:val="auto"/>
                <w:kern w:val="0"/>
                <w:szCs w:val="21"/>
                <w:highlight w:val="none"/>
                <w:lang w:val="en-US" w:eastAsia="zh-CN"/>
              </w:rPr>
              <w:t>益丰大药房连锁股份有限公司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395" w:type="dxa"/>
            <w:shd w:val="clear" w:color="000000" w:fill="auto"/>
            <w:vAlign w:val="center"/>
          </w:tcPr>
          <w:p>
            <w:pPr>
              <w:keepNext w:val="0"/>
              <w:keepLines w:val="0"/>
              <w:pageBreakBefore w:val="0"/>
              <w:widowControl w:val="0"/>
              <w:numPr>
                <w:ilvl w:val="0"/>
                <w:numId w:val="3"/>
              </w:numPr>
              <w:kinsoku/>
              <w:wordWrap/>
              <w:overflowPunct/>
              <w:topLinePunct w:val="0"/>
              <w:autoSpaceDE/>
              <w:autoSpaceDN/>
              <w:bidi w:val="0"/>
              <w:adjustRightInd/>
              <w:snapToGrid/>
              <w:ind w:left="635" w:leftChars="0" w:firstLineChars="0"/>
              <w:jc w:val="center"/>
              <w:textAlignment w:val="auto"/>
              <w:rPr>
                <w:rFonts w:hint="eastAsia" w:ascii="楷体" w:hAnsi="楷体" w:eastAsia="楷体" w:cs="楷体"/>
                <w:color w:val="auto"/>
                <w:szCs w:val="21"/>
                <w:highlight w:val="none"/>
              </w:rPr>
            </w:pPr>
          </w:p>
        </w:tc>
        <w:tc>
          <w:tcPr>
            <w:tcW w:w="5139" w:type="dxa"/>
            <w:shd w:val="clear" w:color="000000" w:fill="auto"/>
            <w:vAlign w:val="top"/>
          </w:tcPr>
          <w:p>
            <w:pPr>
              <w:widowControl/>
              <w:textAlignment w:val="center"/>
              <w:rPr>
                <w:rFonts w:hint="default" w:ascii="楷体" w:hAnsi="楷体" w:eastAsia="楷体" w:cs="楷体"/>
                <w:color w:val="auto"/>
                <w:kern w:val="0"/>
                <w:szCs w:val="21"/>
                <w:highlight w:val="none"/>
                <w:lang w:val="en-US" w:eastAsia="zh-CN"/>
              </w:rPr>
            </w:pPr>
            <w:r>
              <w:rPr>
                <w:rFonts w:hint="default" w:ascii="楷体" w:hAnsi="楷体" w:eastAsia="楷体" w:cs="楷体"/>
                <w:color w:val="auto"/>
                <w:kern w:val="0"/>
                <w:szCs w:val="21"/>
                <w:highlight w:val="none"/>
                <w:lang w:val="en-US" w:eastAsia="zh-CN"/>
              </w:rPr>
              <w:t>金华英特医药物流有限公司</w:t>
            </w:r>
          </w:p>
        </w:tc>
      </w:tr>
    </w:tbl>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5.2023年9月7日，《网络零售药品配送服务规范》行业标准在长沙开展调研活动。走访了老百姓大药房、国药控股湖南维安大药房连锁有限公司2家企业。各调研企业对于标准中委托其他配送企业进行配送要求、冷藏/冷链药品的运输要求、服务流程等内容的可操作性提出了多方面的意见和建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6.2023年9月15日，《网络零售药品配送服务规范》行业标准在重庆开展调研活动。走访了重庆和平药房连锁有限责任公司、重庆好药师大药房连锁有限公司2家企业。调研企业建议细化配送前准备内容、增加服务满意度、配送时效的评价要求建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7.2023年10月，形成了征求意见稿，向全国物流标准化技术委员会提交征求意见稿及相关材料。</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640" w:firstLineChars="200"/>
        <w:textAlignment w:val="auto"/>
        <w:rPr>
          <w:rFonts w:hint="eastAsia"/>
          <w:color w:val="auto"/>
          <w:sz w:val="32"/>
          <w:szCs w:val="32"/>
          <w:highlight w:val="none"/>
          <w:lang w:val="en-US" w:eastAsia="zh-CN"/>
        </w:rPr>
      </w:pPr>
      <w:r>
        <w:rPr>
          <w:rFonts w:hint="eastAsia"/>
          <w:color w:val="auto"/>
          <w:sz w:val="32"/>
          <w:szCs w:val="32"/>
          <w:highlight w:val="none"/>
          <w:lang w:val="en-US" w:eastAsia="zh-CN"/>
        </w:rPr>
        <w:t>起草单位、主要起草人及其所做的工作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起草单位、主要起草人分工及其所做的工作如表2</w:t>
      </w:r>
    </w:p>
    <w:p>
      <w:pPr>
        <w:widowControl/>
        <w:tabs>
          <w:tab w:val="left" w:pos="540"/>
        </w:tabs>
        <w:spacing w:line="276" w:lineRule="auto"/>
        <w:ind w:firstLine="359" w:firstLineChars="171"/>
        <w:contextualSpacing/>
        <w:jc w:val="center"/>
        <w:rPr>
          <w:rFonts w:hint="eastAsia" w:ascii="黑体" w:hAnsi="黑体" w:eastAsia="黑体" w:cs="黑体"/>
          <w:color w:val="auto"/>
          <w:kern w:val="0"/>
          <w:szCs w:val="21"/>
          <w:highlight w:val="none"/>
        </w:rPr>
      </w:pPr>
      <w:r>
        <w:rPr>
          <w:rFonts w:hint="eastAsia" w:ascii="黑体" w:hAnsi="黑体" w:eastAsia="黑体" w:cs="黑体"/>
          <w:color w:val="auto"/>
          <w:kern w:val="0"/>
          <w:szCs w:val="21"/>
          <w:highlight w:val="none"/>
        </w:rPr>
        <w:t>表</w:t>
      </w:r>
      <w:r>
        <w:rPr>
          <w:rFonts w:hint="eastAsia" w:ascii="黑体" w:hAnsi="黑体" w:eastAsia="黑体" w:cs="黑体"/>
          <w:color w:val="auto"/>
          <w:kern w:val="0"/>
          <w:szCs w:val="21"/>
          <w:highlight w:val="none"/>
          <w:lang w:val="en-US" w:eastAsia="zh-CN"/>
        </w:rPr>
        <w:t>2</w:t>
      </w:r>
      <w:r>
        <w:rPr>
          <w:rFonts w:hint="eastAsia" w:ascii="黑体" w:hAnsi="黑体" w:eastAsia="黑体" w:cs="黑体"/>
          <w:color w:val="auto"/>
          <w:kern w:val="0"/>
          <w:szCs w:val="21"/>
          <w:highlight w:val="none"/>
        </w:rPr>
        <w:t xml:space="preserve"> 标准任务分工</w:t>
      </w:r>
    </w:p>
    <w:tbl>
      <w:tblPr>
        <w:tblStyle w:val="10"/>
        <w:tblW w:w="94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Layout w:type="autofit"/>
        <w:tblCellMar>
          <w:top w:w="0" w:type="dxa"/>
          <w:left w:w="108" w:type="dxa"/>
          <w:bottom w:w="0" w:type="dxa"/>
          <w:right w:w="108" w:type="dxa"/>
        </w:tblCellMar>
      </w:tblPr>
      <w:tblGrid>
        <w:gridCol w:w="640"/>
        <w:gridCol w:w="3672"/>
        <w:gridCol w:w="1455"/>
        <w:gridCol w:w="3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jc w:val="center"/>
              <w:rPr>
                <w:rFonts w:hint="eastAsia" w:ascii="楷体" w:hAnsi="楷体" w:eastAsia="楷体" w:cs="楷体"/>
                <w:color w:val="auto"/>
                <w:szCs w:val="21"/>
                <w:highlight w:val="none"/>
              </w:rPr>
            </w:pPr>
            <w:r>
              <w:rPr>
                <w:rFonts w:hint="eastAsia" w:ascii="楷体" w:hAnsi="楷体" w:eastAsia="楷体" w:cs="楷体"/>
                <w:color w:val="auto"/>
                <w:szCs w:val="21"/>
                <w:highlight w:val="none"/>
              </w:rPr>
              <w:t>序号</w:t>
            </w:r>
          </w:p>
        </w:tc>
        <w:tc>
          <w:tcPr>
            <w:tcW w:w="3672" w:type="dxa"/>
            <w:shd w:val="clear" w:color="000000" w:fill="auto"/>
            <w:vAlign w:val="center"/>
          </w:tcPr>
          <w:p>
            <w:pPr>
              <w:jc w:val="center"/>
              <w:rPr>
                <w:rFonts w:hint="eastAsia" w:ascii="楷体" w:hAnsi="楷体" w:eastAsia="楷体" w:cs="楷体"/>
                <w:color w:val="auto"/>
                <w:szCs w:val="21"/>
                <w:highlight w:val="none"/>
              </w:rPr>
            </w:pPr>
            <w:r>
              <w:rPr>
                <w:rFonts w:hint="eastAsia" w:ascii="楷体" w:hAnsi="楷体" w:eastAsia="楷体" w:cs="楷体"/>
                <w:color w:val="auto"/>
                <w:szCs w:val="21"/>
                <w:highlight w:val="none"/>
                <w:lang w:val="en-US" w:eastAsia="zh-CN"/>
              </w:rPr>
              <w:t>起草</w:t>
            </w:r>
            <w:r>
              <w:rPr>
                <w:rFonts w:hint="eastAsia" w:ascii="楷体" w:hAnsi="楷体" w:eastAsia="楷体" w:cs="楷体"/>
                <w:color w:val="auto"/>
                <w:szCs w:val="21"/>
                <w:highlight w:val="none"/>
              </w:rPr>
              <w:t>单位</w:t>
            </w:r>
          </w:p>
        </w:tc>
        <w:tc>
          <w:tcPr>
            <w:tcW w:w="1455" w:type="dxa"/>
            <w:shd w:val="clear" w:color="000000" w:fill="auto"/>
            <w:vAlign w:val="center"/>
          </w:tcPr>
          <w:p>
            <w:pPr>
              <w:jc w:val="center"/>
              <w:rPr>
                <w:rFonts w:hint="eastAsia" w:ascii="楷体" w:hAnsi="楷体" w:eastAsia="楷体" w:cs="楷体"/>
                <w:color w:val="auto"/>
                <w:szCs w:val="21"/>
                <w:highlight w:val="none"/>
                <w:lang w:val="en-US" w:eastAsia="zh-CN"/>
              </w:rPr>
            </w:pPr>
            <w:r>
              <w:rPr>
                <w:rFonts w:hint="eastAsia" w:ascii="楷体" w:hAnsi="楷体" w:eastAsia="楷体" w:cs="楷体"/>
                <w:color w:val="auto"/>
                <w:szCs w:val="21"/>
                <w:highlight w:val="none"/>
                <w:lang w:val="en-US" w:eastAsia="zh-CN"/>
              </w:rPr>
              <w:t>起草人</w:t>
            </w:r>
          </w:p>
        </w:tc>
        <w:tc>
          <w:tcPr>
            <w:tcW w:w="3647" w:type="dxa"/>
            <w:shd w:val="clear" w:color="000000" w:fill="auto"/>
            <w:vAlign w:val="center"/>
          </w:tcPr>
          <w:p>
            <w:pPr>
              <w:jc w:val="center"/>
              <w:rPr>
                <w:rFonts w:hint="eastAsia" w:ascii="楷体" w:hAnsi="楷体" w:eastAsia="楷体" w:cs="楷体"/>
                <w:color w:val="auto"/>
                <w:szCs w:val="21"/>
                <w:highlight w:val="none"/>
              </w:rPr>
            </w:pPr>
            <w:r>
              <w:rPr>
                <w:rFonts w:hint="eastAsia" w:ascii="楷体" w:hAnsi="楷体" w:eastAsia="楷体" w:cs="楷体"/>
                <w:color w:val="auto"/>
                <w:szCs w:val="21"/>
                <w:highlight w:val="none"/>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numPr>
                <w:ilvl w:val="0"/>
                <w:numId w:val="4"/>
              </w:numPr>
              <w:ind w:left="635" w:leftChars="0" w:hanging="425" w:firstLineChars="0"/>
              <w:rPr>
                <w:rFonts w:hint="eastAsia" w:ascii="楷体" w:hAnsi="楷体" w:eastAsia="楷体" w:cs="楷体"/>
                <w:color w:val="auto"/>
                <w:szCs w:val="21"/>
                <w:highlight w:val="none"/>
              </w:rPr>
            </w:pPr>
          </w:p>
        </w:tc>
        <w:tc>
          <w:tcPr>
            <w:tcW w:w="3672" w:type="dxa"/>
            <w:shd w:val="clear" w:color="000000" w:fill="auto"/>
            <w:vAlign w:val="center"/>
          </w:tcPr>
          <w:p>
            <w:pPr>
              <w:widowControl/>
              <w:textAlignment w:val="center"/>
              <w:rPr>
                <w:rFonts w:hint="eastAsia" w:ascii="楷体" w:hAnsi="楷体" w:eastAsia="楷体" w:cs="楷体"/>
                <w:color w:val="auto"/>
                <w:kern w:val="0"/>
                <w:szCs w:val="21"/>
                <w:highlight w:val="none"/>
              </w:rPr>
            </w:pPr>
            <w:r>
              <w:rPr>
                <w:rFonts w:hint="eastAsia" w:ascii="楷体" w:hAnsi="楷体" w:eastAsia="楷体" w:cs="楷体"/>
                <w:color w:val="auto"/>
                <w:kern w:val="0"/>
                <w:szCs w:val="21"/>
                <w:highlight w:val="none"/>
                <w:lang w:val="en-US" w:eastAsia="zh-CN"/>
              </w:rPr>
              <w:t>拉扎斯网络科技（上海）有限公司</w:t>
            </w:r>
          </w:p>
        </w:tc>
        <w:tc>
          <w:tcPr>
            <w:tcW w:w="1455" w:type="dxa"/>
            <w:shd w:val="clear" w:color="000000" w:fill="auto"/>
            <w:vAlign w:val="center"/>
          </w:tcPr>
          <w:p>
            <w:pPr>
              <w:rPr>
                <w:rFonts w:hint="eastAsia" w:ascii="楷体" w:hAnsi="楷体" w:eastAsia="楷体" w:cs="楷体"/>
                <w:color w:val="auto"/>
                <w:szCs w:val="21"/>
                <w:highlight w:val="none"/>
                <w:lang w:eastAsia="zh-CN"/>
              </w:rPr>
            </w:pPr>
            <w:r>
              <w:rPr>
                <w:rFonts w:hint="eastAsia" w:ascii="楷体" w:hAnsi="楷体" w:eastAsia="楷体" w:cs="楷体"/>
                <w:color w:val="auto"/>
                <w:szCs w:val="21"/>
                <w:highlight w:val="none"/>
              </w:rPr>
              <w:t>韩鎏</w:t>
            </w:r>
            <w:r>
              <w:rPr>
                <w:rFonts w:hint="eastAsia" w:ascii="楷体" w:hAnsi="楷体" w:eastAsia="楷体" w:cs="楷体"/>
                <w:color w:val="auto"/>
                <w:szCs w:val="21"/>
                <w:highlight w:val="none"/>
                <w:lang w:eastAsia="zh-CN"/>
              </w:rPr>
              <w:t>、</w:t>
            </w:r>
            <w:r>
              <w:rPr>
                <w:rFonts w:hint="eastAsia" w:ascii="楷体" w:hAnsi="楷体" w:eastAsia="楷体" w:cs="楷体"/>
                <w:color w:val="auto"/>
                <w:szCs w:val="21"/>
                <w:highlight w:val="none"/>
                <w:lang w:val="en-US" w:eastAsia="zh-CN"/>
              </w:rPr>
              <w:t>王哲</w:t>
            </w:r>
          </w:p>
        </w:tc>
        <w:tc>
          <w:tcPr>
            <w:tcW w:w="3647" w:type="dxa"/>
            <w:shd w:val="clear" w:color="000000" w:fill="auto"/>
            <w:vAlign w:val="center"/>
          </w:tcPr>
          <w:p>
            <w:pPr>
              <w:rPr>
                <w:rFonts w:hint="eastAsia" w:ascii="楷体" w:hAnsi="楷体" w:eastAsia="楷体" w:cs="楷体"/>
                <w:color w:val="auto"/>
                <w:szCs w:val="21"/>
                <w:highlight w:val="none"/>
              </w:rPr>
            </w:pPr>
            <w:r>
              <w:rPr>
                <w:rFonts w:hint="eastAsia" w:ascii="楷体" w:hAnsi="楷体" w:eastAsia="楷体" w:cs="楷体"/>
                <w:color w:val="auto"/>
                <w:szCs w:val="21"/>
                <w:highlight w:val="none"/>
                <w:lang w:val="en-US" w:eastAsia="zh-CN"/>
              </w:rPr>
              <w:t>项目提出单位。</w:t>
            </w:r>
            <w:r>
              <w:rPr>
                <w:rFonts w:hint="eastAsia" w:ascii="楷体" w:hAnsi="楷体" w:eastAsia="楷体" w:cs="楷体"/>
                <w:color w:val="auto"/>
                <w:szCs w:val="21"/>
                <w:highlight w:val="none"/>
              </w:rPr>
              <w:t>参与小组的研讨、</w:t>
            </w:r>
            <w:r>
              <w:rPr>
                <w:rFonts w:hint="eastAsia" w:ascii="楷体" w:hAnsi="楷体" w:eastAsia="楷体" w:cs="楷体"/>
                <w:color w:val="auto"/>
                <w:szCs w:val="21"/>
                <w:highlight w:val="none"/>
                <w:lang w:val="en-US" w:eastAsia="zh-CN"/>
              </w:rPr>
              <w:t>协助修改标准内容、</w:t>
            </w:r>
            <w:r>
              <w:rPr>
                <w:rFonts w:hint="eastAsia" w:ascii="楷体" w:hAnsi="楷体" w:eastAsia="楷体" w:cs="楷体"/>
                <w:color w:val="auto"/>
                <w:szCs w:val="21"/>
                <w:highlight w:val="none"/>
              </w:rPr>
              <w:t>提供相关的数据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numPr>
                <w:ilvl w:val="0"/>
                <w:numId w:val="4"/>
              </w:numPr>
              <w:ind w:left="635" w:leftChars="0" w:hanging="425" w:firstLineChars="0"/>
              <w:rPr>
                <w:rFonts w:hint="eastAsia" w:ascii="楷体" w:hAnsi="楷体" w:eastAsia="楷体" w:cs="楷体"/>
                <w:color w:val="auto"/>
                <w:szCs w:val="21"/>
                <w:highlight w:val="none"/>
              </w:rPr>
            </w:pPr>
          </w:p>
        </w:tc>
        <w:tc>
          <w:tcPr>
            <w:tcW w:w="3672" w:type="dxa"/>
            <w:shd w:val="clear" w:color="000000" w:fill="auto"/>
            <w:vAlign w:val="center"/>
          </w:tcPr>
          <w:p>
            <w:pPr>
              <w:widowControl/>
              <w:textAlignment w:val="center"/>
              <w:rPr>
                <w:rFonts w:hint="default" w:ascii="楷体" w:hAnsi="楷体" w:eastAsia="楷体" w:cs="楷体"/>
                <w:color w:val="auto"/>
                <w:szCs w:val="21"/>
                <w:highlight w:val="none"/>
                <w:lang w:val="en-US" w:eastAsia="zh-CN"/>
              </w:rPr>
            </w:pPr>
            <w:r>
              <w:rPr>
                <w:rFonts w:hint="eastAsia" w:ascii="楷体" w:hAnsi="楷体" w:eastAsia="楷体" w:cs="楷体"/>
                <w:color w:val="auto"/>
                <w:kern w:val="0"/>
                <w:szCs w:val="21"/>
                <w:highlight w:val="none"/>
              </w:rPr>
              <w:t>中国物流与采购联合会</w:t>
            </w:r>
            <w:r>
              <w:rPr>
                <w:rFonts w:hint="eastAsia" w:ascii="楷体" w:hAnsi="楷体" w:eastAsia="楷体" w:cs="楷体"/>
                <w:color w:val="auto"/>
                <w:kern w:val="0"/>
                <w:szCs w:val="21"/>
                <w:highlight w:val="none"/>
                <w:lang w:val="en-US" w:eastAsia="zh-CN"/>
              </w:rPr>
              <w:t>医药物流分会</w:t>
            </w:r>
          </w:p>
        </w:tc>
        <w:tc>
          <w:tcPr>
            <w:tcW w:w="1455" w:type="dxa"/>
            <w:shd w:val="clear" w:color="000000" w:fill="auto"/>
            <w:vAlign w:val="center"/>
          </w:tcPr>
          <w:p>
            <w:pPr>
              <w:rPr>
                <w:rFonts w:hint="default" w:ascii="楷体" w:hAnsi="楷体" w:eastAsia="楷体" w:cs="楷体"/>
                <w:color w:val="auto"/>
                <w:szCs w:val="21"/>
                <w:highlight w:val="none"/>
                <w:lang w:val="en-US" w:eastAsia="zh-CN"/>
              </w:rPr>
            </w:pPr>
            <w:r>
              <w:rPr>
                <w:rFonts w:hint="eastAsia" w:ascii="楷体" w:hAnsi="楷体" w:eastAsia="楷体" w:cs="楷体"/>
                <w:color w:val="auto"/>
                <w:szCs w:val="21"/>
                <w:highlight w:val="none"/>
              </w:rPr>
              <w:t>秦玉鸣</w:t>
            </w:r>
            <w:r>
              <w:rPr>
                <w:rFonts w:hint="eastAsia" w:ascii="楷体" w:hAnsi="楷体" w:eastAsia="楷体" w:cs="楷体"/>
                <w:color w:val="auto"/>
                <w:szCs w:val="21"/>
                <w:highlight w:val="none"/>
                <w:lang w:eastAsia="zh-CN"/>
              </w:rPr>
              <w:t>、</w:t>
            </w:r>
            <w:r>
              <w:rPr>
                <w:rFonts w:hint="eastAsia" w:ascii="楷体" w:hAnsi="楷体" w:eastAsia="楷体" w:cs="楷体"/>
                <w:color w:val="auto"/>
                <w:szCs w:val="21"/>
                <w:highlight w:val="none"/>
                <w:lang w:val="en-US" w:eastAsia="zh-CN"/>
              </w:rPr>
              <w:t>郭威、王晓晓、刘洋、常洋</w:t>
            </w:r>
          </w:p>
        </w:tc>
        <w:tc>
          <w:tcPr>
            <w:tcW w:w="3647" w:type="dxa"/>
            <w:shd w:val="clear" w:color="000000" w:fill="auto"/>
            <w:vAlign w:val="center"/>
          </w:tcPr>
          <w:p>
            <w:pPr>
              <w:rPr>
                <w:rFonts w:hint="eastAsia" w:ascii="楷体" w:hAnsi="楷体" w:eastAsia="楷体" w:cs="楷体"/>
                <w:color w:val="auto"/>
                <w:szCs w:val="21"/>
                <w:highlight w:val="none"/>
              </w:rPr>
            </w:pPr>
            <w:r>
              <w:rPr>
                <w:rFonts w:hint="eastAsia" w:ascii="楷体" w:hAnsi="楷体" w:eastAsia="楷体" w:cs="楷体"/>
                <w:color w:val="auto"/>
                <w:szCs w:val="21"/>
                <w:highlight w:val="none"/>
                <w:lang w:val="en-US" w:eastAsia="zh-CN"/>
              </w:rPr>
              <w:t>牵头起草单位。</w:t>
            </w:r>
            <w:r>
              <w:rPr>
                <w:rFonts w:hint="eastAsia" w:ascii="楷体" w:hAnsi="楷体" w:eastAsia="楷体" w:cs="楷体"/>
                <w:color w:val="auto"/>
                <w:szCs w:val="21"/>
                <w:highlight w:val="none"/>
              </w:rPr>
              <w:t>参与</w:t>
            </w:r>
            <w:r>
              <w:rPr>
                <w:rFonts w:hint="eastAsia" w:ascii="楷体" w:hAnsi="楷体" w:eastAsia="楷体" w:cs="楷体"/>
                <w:color w:val="auto"/>
                <w:szCs w:val="21"/>
                <w:highlight w:val="none"/>
                <w:lang w:val="en-US" w:eastAsia="zh-CN"/>
              </w:rPr>
              <w:t>小组</w:t>
            </w:r>
            <w:r>
              <w:rPr>
                <w:rFonts w:hint="eastAsia" w:ascii="楷体" w:hAnsi="楷体" w:eastAsia="楷体" w:cs="楷体"/>
                <w:color w:val="auto"/>
                <w:szCs w:val="21"/>
                <w:highlight w:val="none"/>
              </w:rPr>
              <w:t>讨论，负责标准的汇总、初审，提出标准编写的建议，</w:t>
            </w:r>
            <w:r>
              <w:rPr>
                <w:rFonts w:hint="eastAsia" w:ascii="楷体" w:hAnsi="楷体" w:eastAsia="楷体" w:cs="楷体"/>
                <w:color w:val="auto"/>
                <w:szCs w:val="21"/>
                <w:highlight w:val="none"/>
                <w:lang w:val="en-US" w:eastAsia="zh-CN"/>
              </w:rPr>
              <w:t>对</w:t>
            </w:r>
            <w:r>
              <w:rPr>
                <w:rFonts w:hint="eastAsia" w:ascii="楷体" w:hAnsi="楷体" w:eastAsia="楷体" w:cs="楷体"/>
                <w:color w:val="auto"/>
                <w:szCs w:val="21"/>
                <w:highlight w:val="none"/>
              </w:rPr>
              <w:t>标准的质量把关。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numPr>
                <w:ilvl w:val="0"/>
                <w:numId w:val="4"/>
              </w:numPr>
              <w:ind w:left="635" w:leftChars="0" w:hanging="425" w:firstLineChars="0"/>
              <w:rPr>
                <w:rFonts w:hint="eastAsia" w:ascii="楷体" w:hAnsi="楷体" w:eastAsia="楷体" w:cs="楷体"/>
                <w:color w:val="auto"/>
                <w:szCs w:val="21"/>
                <w:highlight w:val="none"/>
              </w:rPr>
            </w:pPr>
          </w:p>
        </w:tc>
        <w:tc>
          <w:tcPr>
            <w:tcW w:w="3672" w:type="dxa"/>
            <w:shd w:val="clear" w:color="000000" w:fill="auto"/>
            <w:vAlign w:val="top"/>
          </w:tcPr>
          <w:p>
            <w:pPr>
              <w:widowControl/>
              <w:textAlignment w:val="center"/>
              <w:rPr>
                <w:rFonts w:hint="eastAsia" w:ascii="楷体" w:hAnsi="楷体" w:eastAsia="楷体" w:cs="楷体"/>
                <w:color w:val="auto"/>
                <w:kern w:val="0"/>
                <w:szCs w:val="21"/>
                <w:highlight w:val="none"/>
                <w:lang w:val="en-US" w:eastAsia="zh-CN"/>
              </w:rPr>
            </w:pPr>
            <w:r>
              <w:rPr>
                <w:rFonts w:hint="eastAsia" w:ascii="楷体" w:hAnsi="楷体" w:eastAsia="楷体" w:cs="楷体"/>
                <w:color w:val="auto"/>
                <w:kern w:val="0"/>
                <w:szCs w:val="21"/>
                <w:highlight w:val="none"/>
                <w:lang w:val="en-US" w:eastAsia="zh-CN"/>
              </w:rPr>
              <w:t>深圳顺丰泰森控股（集团）有限公司</w:t>
            </w:r>
          </w:p>
        </w:tc>
        <w:tc>
          <w:tcPr>
            <w:tcW w:w="1455" w:type="dxa"/>
            <w:shd w:val="clear" w:color="000000" w:fill="auto"/>
            <w:vAlign w:val="center"/>
          </w:tcPr>
          <w:p>
            <w:pPr>
              <w:rPr>
                <w:rFonts w:hint="eastAsia" w:ascii="楷体" w:hAnsi="楷体" w:eastAsia="楷体" w:cs="楷体"/>
                <w:color w:val="auto"/>
                <w:szCs w:val="21"/>
                <w:highlight w:val="none"/>
                <w:lang w:val="en-US" w:eastAsia="zh-CN"/>
              </w:rPr>
            </w:pPr>
            <w:r>
              <w:rPr>
                <w:rFonts w:hint="eastAsia" w:ascii="楷体" w:hAnsi="楷体" w:eastAsia="楷体" w:cs="楷体"/>
                <w:color w:val="auto"/>
                <w:szCs w:val="21"/>
                <w:highlight w:val="none"/>
                <w:lang w:val="en-US" w:eastAsia="zh-CN"/>
              </w:rPr>
              <w:t>刘为敏</w:t>
            </w:r>
          </w:p>
        </w:tc>
        <w:tc>
          <w:tcPr>
            <w:tcW w:w="3647" w:type="dxa"/>
            <w:shd w:val="clear" w:color="000000" w:fill="auto"/>
            <w:vAlign w:val="center"/>
          </w:tcPr>
          <w:p>
            <w:pPr>
              <w:rPr>
                <w:rFonts w:hint="eastAsia" w:ascii="楷体" w:hAnsi="楷体" w:eastAsia="楷体" w:cs="楷体"/>
                <w:color w:val="auto"/>
                <w:szCs w:val="21"/>
                <w:highlight w:val="none"/>
                <w:lang w:val="en-US" w:eastAsia="zh-CN"/>
              </w:rPr>
            </w:pPr>
            <w:r>
              <w:rPr>
                <w:rFonts w:hint="eastAsia" w:ascii="楷体" w:hAnsi="楷体" w:eastAsia="楷体" w:cs="楷体"/>
                <w:color w:val="auto"/>
                <w:szCs w:val="21"/>
                <w:highlight w:val="none"/>
              </w:rPr>
              <w:t>参与小组的研讨、提供相关的数据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numPr>
                <w:ilvl w:val="0"/>
                <w:numId w:val="4"/>
              </w:numPr>
              <w:ind w:left="635" w:leftChars="0" w:hanging="425" w:firstLineChars="0"/>
              <w:rPr>
                <w:rFonts w:hint="eastAsia" w:ascii="楷体" w:hAnsi="楷体" w:eastAsia="楷体" w:cs="楷体"/>
                <w:color w:val="auto"/>
                <w:szCs w:val="21"/>
                <w:highlight w:val="none"/>
              </w:rPr>
            </w:pPr>
          </w:p>
        </w:tc>
        <w:tc>
          <w:tcPr>
            <w:tcW w:w="3672" w:type="dxa"/>
            <w:shd w:val="clear" w:color="000000" w:fill="auto"/>
            <w:vAlign w:val="top"/>
          </w:tcPr>
          <w:p>
            <w:pPr>
              <w:widowControl/>
              <w:textAlignment w:val="center"/>
              <w:rPr>
                <w:rFonts w:hint="default" w:ascii="楷体" w:hAnsi="楷体" w:eastAsia="楷体" w:cs="楷体"/>
                <w:color w:val="auto"/>
                <w:kern w:val="0"/>
                <w:szCs w:val="21"/>
                <w:highlight w:val="none"/>
                <w:lang w:val="en-US" w:eastAsia="zh-CN"/>
              </w:rPr>
            </w:pPr>
            <w:r>
              <w:rPr>
                <w:rFonts w:hint="eastAsia" w:ascii="楷体" w:hAnsi="楷体" w:eastAsia="楷体" w:cs="楷体"/>
                <w:color w:val="auto"/>
                <w:kern w:val="0"/>
                <w:szCs w:val="21"/>
                <w:highlight w:val="none"/>
                <w:lang w:val="en-US" w:eastAsia="zh-CN"/>
              </w:rPr>
              <w:t>个人</w:t>
            </w:r>
          </w:p>
        </w:tc>
        <w:tc>
          <w:tcPr>
            <w:tcW w:w="1455" w:type="dxa"/>
            <w:shd w:val="clear" w:color="000000" w:fill="auto"/>
            <w:vAlign w:val="center"/>
          </w:tcPr>
          <w:p>
            <w:pPr>
              <w:rPr>
                <w:rFonts w:hint="eastAsia" w:ascii="楷体" w:hAnsi="楷体" w:eastAsia="楷体" w:cs="楷体"/>
                <w:color w:val="auto"/>
                <w:szCs w:val="21"/>
                <w:highlight w:val="none"/>
                <w:lang w:val="en-US" w:eastAsia="zh-CN"/>
              </w:rPr>
            </w:pPr>
            <w:r>
              <w:rPr>
                <w:rFonts w:hint="eastAsia" w:ascii="楷体" w:hAnsi="楷体" w:eastAsia="楷体" w:cs="楷体"/>
                <w:color w:val="auto"/>
                <w:kern w:val="0"/>
                <w:szCs w:val="21"/>
                <w:highlight w:val="none"/>
                <w:lang w:val="en-US" w:eastAsia="zh-CN"/>
              </w:rPr>
              <w:t>孟国栋</w:t>
            </w:r>
          </w:p>
        </w:tc>
        <w:tc>
          <w:tcPr>
            <w:tcW w:w="3647" w:type="dxa"/>
            <w:shd w:val="clear" w:color="000000" w:fill="auto"/>
            <w:vAlign w:val="center"/>
          </w:tcPr>
          <w:p>
            <w:pPr>
              <w:rPr>
                <w:rFonts w:hint="eastAsia" w:ascii="楷体" w:hAnsi="楷体" w:eastAsia="楷体" w:cs="楷体"/>
                <w:color w:val="auto"/>
                <w:szCs w:val="21"/>
                <w:highlight w:val="none"/>
                <w:lang w:eastAsia="zh-CN"/>
              </w:rPr>
            </w:pPr>
            <w:r>
              <w:rPr>
                <w:rFonts w:hint="eastAsia" w:ascii="楷体" w:hAnsi="楷体" w:eastAsia="楷体" w:cs="楷体"/>
                <w:color w:val="auto"/>
                <w:szCs w:val="21"/>
                <w:highlight w:val="none"/>
                <w:lang w:val="en-US" w:eastAsia="zh-CN"/>
              </w:rPr>
              <w:t>标准编写专家</w:t>
            </w:r>
            <w:r>
              <w:rPr>
                <w:rFonts w:hint="eastAsia" w:ascii="楷体" w:hAnsi="楷体" w:eastAsia="楷体" w:cs="楷体"/>
                <w:color w:val="auto"/>
                <w:szCs w:val="21"/>
                <w:highlight w:val="none"/>
              </w:rPr>
              <w:t>，</w:t>
            </w:r>
            <w:r>
              <w:rPr>
                <w:rFonts w:hint="eastAsia" w:ascii="楷体" w:hAnsi="楷体" w:eastAsia="楷体" w:cs="楷体"/>
                <w:color w:val="auto"/>
                <w:szCs w:val="21"/>
                <w:highlight w:val="none"/>
                <w:lang w:val="en-US" w:eastAsia="zh-CN"/>
              </w:rPr>
              <w:t>修改</w:t>
            </w:r>
            <w:r>
              <w:rPr>
                <w:rFonts w:hint="eastAsia" w:ascii="楷体" w:hAnsi="楷体" w:eastAsia="楷体" w:cs="楷体"/>
                <w:color w:val="auto"/>
                <w:szCs w:val="21"/>
                <w:highlight w:val="none"/>
              </w:rPr>
              <w:t>标准内容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numPr>
                <w:ilvl w:val="0"/>
                <w:numId w:val="4"/>
              </w:numPr>
              <w:ind w:left="635" w:leftChars="0" w:hanging="425" w:firstLineChars="0"/>
              <w:rPr>
                <w:rFonts w:hint="eastAsia" w:ascii="楷体" w:hAnsi="楷体" w:eastAsia="楷体" w:cs="楷体"/>
                <w:color w:val="auto"/>
                <w:szCs w:val="21"/>
                <w:highlight w:val="none"/>
              </w:rPr>
            </w:pPr>
          </w:p>
        </w:tc>
        <w:tc>
          <w:tcPr>
            <w:tcW w:w="3672" w:type="dxa"/>
            <w:shd w:val="clear" w:color="000000" w:fill="auto"/>
            <w:vAlign w:val="top"/>
          </w:tcPr>
          <w:p>
            <w:pPr>
              <w:widowControl/>
              <w:textAlignment w:val="center"/>
              <w:rPr>
                <w:rFonts w:hint="default" w:ascii="楷体" w:hAnsi="楷体" w:eastAsia="楷体" w:cs="楷体"/>
                <w:color w:val="auto"/>
                <w:kern w:val="0"/>
                <w:szCs w:val="21"/>
                <w:highlight w:val="none"/>
                <w:lang w:val="en-US" w:eastAsia="zh-CN"/>
              </w:rPr>
            </w:pPr>
            <w:r>
              <w:rPr>
                <w:rFonts w:hint="eastAsia" w:ascii="楷体" w:hAnsi="楷体" w:eastAsia="楷体" w:cs="楷体"/>
                <w:color w:val="auto"/>
                <w:kern w:val="0"/>
                <w:szCs w:val="21"/>
                <w:highlight w:val="none"/>
                <w:lang w:val="en-US" w:eastAsia="zh-CN"/>
              </w:rPr>
              <w:t>个人</w:t>
            </w:r>
          </w:p>
        </w:tc>
        <w:tc>
          <w:tcPr>
            <w:tcW w:w="1455" w:type="dxa"/>
            <w:shd w:val="clear" w:color="000000" w:fill="auto"/>
            <w:vAlign w:val="center"/>
          </w:tcPr>
          <w:p>
            <w:pPr>
              <w:rPr>
                <w:rFonts w:hint="eastAsia" w:ascii="楷体" w:hAnsi="楷体" w:eastAsia="楷体" w:cs="楷体"/>
                <w:color w:val="auto"/>
                <w:szCs w:val="21"/>
                <w:highlight w:val="none"/>
              </w:rPr>
            </w:pPr>
            <w:r>
              <w:rPr>
                <w:rFonts w:hint="eastAsia" w:ascii="楷体" w:hAnsi="楷体" w:eastAsia="楷体" w:cs="楷体"/>
                <w:color w:val="auto"/>
                <w:kern w:val="0"/>
                <w:szCs w:val="21"/>
                <w:highlight w:val="none"/>
                <w:lang w:val="en-US" w:eastAsia="zh-CN"/>
              </w:rPr>
              <w:t>李亚武</w:t>
            </w:r>
          </w:p>
        </w:tc>
        <w:tc>
          <w:tcPr>
            <w:tcW w:w="3647" w:type="dxa"/>
            <w:shd w:val="clear" w:color="000000" w:fill="auto"/>
            <w:vAlign w:val="center"/>
          </w:tcPr>
          <w:p>
            <w:pPr>
              <w:rPr>
                <w:rFonts w:hint="eastAsia" w:ascii="楷体" w:hAnsi="楷体" w:eastAsia="楷体" w:cs="楷体"/>
                <w:color w:val="auto"/>
                <w:szCs w:val="21"/>
                <w:highlight w:val="none"/>
              </w:rPr>
            </w:pPr>
            <w:r>
              <w:rPr>
                <w:rFonts w:hint="eastAsia" w:ascii="楷体" w:hAnsi="楷体" w:eastAsia="楷体" w:cs="楷体"/>
                <w:color w:val="auto"/>
                <w:szCs w:val="21"/>
                <w:highlight w:val="none"/>
              </w:rPr>
              <w:t>参与小组的研讨、提出</w:t>
            </w:r>
            <w:r>
              <w:rPr>
                <w:rFonts w:hint="eastAsia" w:ascii="楷体" w:hAnsi="楷体" w:eastAsia="楷体" w:cs="楷体"/>
                <w:color w:val="auto"/>
                <w:szCs w:val="21"/>
                <w:highlight w:val="none"/>
                <w:lang w:eastAsia="zh-CN"/>
              </w:rPr>
              <w:t>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numPr>
                <w:ilvl w:val="0"/>
                <w:numId w:val="4"/>
              </w:numPr>
              <w:ind w:left="635" w:leftChars="0" w:hanging="425" w:firstLineChars="0"/>
              <w:rPr>
                <w:rFonts w:hint="eastAsia" w:ascii="楷体" w:hAnsi="楷体" w:eastAsia="楷体" w:cs="楷体"/>
                <w:color w:val="auto"/>
                <w:szCs w:val="21"/>
                <w:highlight w:val="none"/>
              </w:rPr>
            </w:pPr>
          </w:p>
        </w:tc>
        <w:tc>
          <w:tcPr>
            <w:tcW w:w="3672" w:type="dxa"/>
            <w:shd w:val="clear" w:color="000000" w:fill="auto"/>
            <w:vAlign w:val="top"/>
          </w:tcPr>
          <w:p>
            <w:pPr>
              <w:rPr>
                <w:rFonts w:hint="eastAsia" w:ascii="楷体" w:hAnsi="楷体" w:eastAsia="楷体" w:cs="楷体"/>
                <w:color w:val="auto"/>
                <w:kern w:val="0"/>
                <w:szCs w:val="21"/>
                <w:highlight w:val="none"/>
                <w:lang w:val="en-US" w:eastAsia="zh-CN"/>
              </w:rPr>
            </w:pPr>
            <w:r>
              <w:rPr>
                <w:rFonts w:hint="eastAsia" w:ascii="楷体" w:hAnsi="楷体" w:eastAsia="楷体" w:cs="楷体"/>
                <w:color w:val="auto"/>
                <w:kern w:val="0"/>
                <w:szCs w:val="21"/>
                <w:highlight w:val="none"/>
                <w:lang w:val="en-US" w:eastAsia="zh-CN"/>
              </w:rPr>
              <w:t>上药控股有限公司</w:t>
            </w:r>
          </w:p>
        </w:tc>
        <w:tc>
          <w:tcPr>
            <w:tcW w:w="1455" w:type="dxa"/>
            <w:shd w:val="clear" w:color="000000" w:fill="auto"/>
            <w:vAlign w:val="center"/>
          </w:tcPr>
          <w:p>
            <w:pPr>
              <w:rPr>
                <w:rFonts w:hint="eastAsia" w:ascii="楷体" w:hAnsi="楷体" w:eastAsia="楷体" w:cs="楷体"/>
                <w:color w:val="auto"/>
                <w:kern w:val="0"/>
                <w:szCs w:val="21"/>
                <w:highlight w:val="none"/>
                <w:lang w:val="en-US" w:eastAsia="zh-CN"/>
              </w:rPr>
            </w:pPr>
            <w:r>
              <w:rPr>
                <w:rFonts w:hint="eastAsia" w:ascii="楷体" w:hAnsi="楷体" w:eastAsia="楷体" w:cs="楷体"/>
                <w:color w:val="auto"/>
                <w:kern w:val="0"/>
                <w:szCs w:val="21"/>
                <w:highlight w:val="none"/>
                <w:lang w:val="en-US" w:eastAsia="zh-CN"/>
              </w:rPr>
              <w:t>任刚</w:t>
            </w:r>
          </w:p>
        </w:tc>
        <w:tc>
          <w:tcPr>
            <w:tcW w:w="3647" w:type="dxa"/>
            <w:shd w:val="clear" w:color="000000" w:fill="auto"/>
            <w:vAlign w:val="center"/>
          </w:tcPr>
          <w:p>
            <w:pPr>
              <w:rPr>
                <w:rFonts w:hint="eastAsia" w:ascii="楷体" w:hAnsi="楷体" w:eastAsia="楷体" w:cs="楷体"/>
                <w:color w:val="auto"/>
                <w:kern w:val="0"/>
                <w:szCs w:val="21"/>
                <w:highlight w:val="none"/>
                <w:lang w:val="en-US" w:eastAsia="zh-CN"/>
              </w:rPr>
            </w:pPr>
            <w:r>
              <w:rPr>
                <w:rFonts w:hint="eastAsia" w:ascii="楷体" w:hAnsi="楷体" w:eastAsia="楷体" w:cs="楷体"/>
                <w:color w:val="auto"/>
                <w:kern w:val="0"/>
                <w:szCs w:val="21"/>
                <w:highlight w:val="none"/>
                <w:lang w:val="en-US" w:eastAsia="zh-CN"/>
              </w:rPr>
              <w:t>参与小组的研讨、提出修改意见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numPr>
                <w:ilvl w:val="0"/>
                <w:numId w:val="4"/>
              </w:numPr>
              <w:ind w:left="635" w:leftChars="0" w:hanging="425" w:firstLineChars="0"/>
              <w:rPr>
                <w:rFonts w:hint="eastAsia" w:ascii="楷体" w:hAnsi="楷体" w:eastAsia="楷体" w:cs="楷体"/>
                <w:color w:val="auto"/>
                <w:szCs w:val="21"/>
                <w:highlight w:val="none"/>
              </w:rPr>
            </w:pPr>
          </w:p>
        </w:tc>
        <w:tc>
          <w:tcPr>
            <w:tcW w:w="3672" w:type="dxa"/>
            <w:shd w:val="clear" w:color="000000" w:fill="auto"/>
            <w:vAlign w:val="top"/>
          </w:tcPr>
          <w:p>
            <w:pPr>
              <w:widowControl/>
              <w:textAlignment w:val="center"/>
              <w:rPr>
                <w:rFonts w:hint="eastAsia" w:ascii="楷体" w:hAnsi="楷体" w:eastAsia="楷体" w:cs="楷体"/>
                <w:color w:val="auto"/>
                <w:kern w:val="0"/>
                <w:szCs w:val="21"/>
                <w:highlight w:val="none"/>
                <w:lang w:val="en-US" w:eastAsia="zh-CN"/>
              </w:rPr>
            </w:pPr>
            <w:r>
              <w:rPr>
                <w:rFonts w:hint="eastAsia" w:ascii="楷体" w:hAnsi="楷体" w:eastAsia="楷体" w:cs="楷体"/>
                <w:color w:val="auto"/>
                <w:kern w:val="0"/>
                <w:szCs w:val="21"/>
                <w:highlight w:val="none"/>
                <w:lang w:val="en-US" w:eastAsia="zh-CN"/>
              </w:rPr>
              <w:t>老百姓大药房连锁股份有限公司</w:t>
            </w:r>
          </w:p>
        </w:tc>
        <w:tc>
          <w:tcPr>
            <w:tcW w:w="1455" w:type="dxa"/>
            <w:shd w:val="clear" w:color="000000" w:fill="auto"/>
            <w:vAlign w:val="center"/>
          </w:tcPr>
          <w:p>
            <w:pPr>
              <w:rPr>
                <w:rFonts w:hint="eastAsia" w:ascii="楷体" w:hAnsi="楷体" w:eastAsia="楷体" w:cs="楷体"/>
                <w:color w:val="auto"/>
                <w:szCs w:val="21"/>
                <w:highlight w:val="none"/>
              </w:rPr>
            </w:pPr>
            <w:r>
              <w:rPr>
                <w:rFonts w:hint="eastAsia" w:ascii="楷体" w:hAnsi="楷体" w:eastAsia="楷体" w:cs="楷体"/>
                <w:color w:val="auto"/>
                <w:szCs w:val="21"/>
                <w:highlight w:val="none"/>
              </w:rPr>
              <w:t>姚共亲</w:t>
            </w:r>
          </w:p>
        </w:tc>
        <w:tc>
          <w:tcPr>
            <w:tcW w:w="3647" w:type="dxa"/>
            <w:shd w:val="clear" w:color="000000" w:fill="auto"/>
            <w:vAlign w:val="center"/>
          </w:tcPr>
          <w:p>
            <w:pPr>
              <w:rPr>
                <w:rFonts w:hint="eastAsia" w:ascii="楷体" w:hAnsi="楷体" w:eastAsia="楷体" w:cs="楷体"/>
                <w:color w:val="auto"/>
                <w:szCs w:val="21"/>
                <w:highlight w:val="none"/>
                <w:lang w:eastAsia="zh-CN"/>
              </w:rPr>
            </w:pPr>
            <w:r>
              <w:rPr>
                <w:rFonts w:hint="eastAsia" w:ascii="楷体" w:hAnsi="楷体" w:eastAsia="楷体" w:cs="楷体"/>
                <w:color w:val="auto"/>
                <w:szCs w:val="21"/>
                <w:highlight w:val="none"/>
              </w:rPr>
              <w:t>参与小组的研讨、提供相关的数据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numPr>
                <w:ilvl w:val="0"/>
                <w:numId w:val="4"/>
              </w:numPr>
              <w:ind w:left="635" w:leftChars="0" w:hanging="425" w:firstLineChars="0"/>
              <w:rPr>
                <w:rFonts w:hint="eastAsia" w:ascii="楷体" w:hAnsi="楷体" w:eastAsia="楷体" w:cs="楷体"/>
                <w:color w:val="auto"/>
                <w:szCs w:val="21"/>
                <w:highlight w:val="none"/>
              </w:rPr>
            </w:pPr>
          </w:p>
        </w:tc>
        <w:tc>
          <w:tcPr>
            <w:tcW w:w="3672" w:type="dxa"/>
            <w:shd w:val="clear" w:color="000000" w:fill="auto"/>
            <w:vAlign w:val="top"/>
          </w:tcPr>
          <w:p>
            <w:pPr>
              <w:widowControl/>
              <w:textAlignment w:val="center"/>
              <w:rPr>
                <w:rFonts w:hint="eastAsia" w:ascii="楷体" w:hAnsi="楷体" w:eastAsia="楷体" w:cs="楷体"/>
                <w:color w:val="auto"/>
                <w:kern w:val="0"/>
                <w:szCs w:val="21"/>
                <w:highlight w:val="none"/>
                <w:lang w:val="en-US" w:eastAsia="zh-CN"/>
              </w:rPr>
            </w:pPr>
            <w:r>
              <w:rPr>
                <w:rFonts w:hint="eastAsia" w:ascii="楷体" w:hAnsi="楷体" w:eastAsia="楷体" w:cs="楷体"/>
                <w:color w:val="auto"/>
                <w:kern w:val="0"/>
                <w:szCs w:val="21"/>
                <w:highlight w:val="none"/>
                <w:lang w:val="en-US" w:eastAsia="zh-CN"/>
              </w:rPr>
              <w:t>漱玉平民大药房连锁股份有限公司</w:t>
            </w:r>
          </w:p>
        </w:tc>
        <w:tc>
          <w:tcPr>
            <w:tcW w:w="1455" w:type="dxa"/>
            <w:shd w:val="clear" w:color="000000" w:fill="auto"/>
            <w:vAlign w:val="center"/>
          </w:tcPr>
          <w:p>
            <w:pPr>
              <w:rPr>
                <w:rFonts w:hint="eastAsia" w:ascii="楷体" w:hAnsi="楷体" w:eastAsia="楷体" w:cs="楷体"/>
                <w:color w:val="auto"/>
                <w:szCs w:val="21"/>
                <w:highlight w:val="none"/>
              </w:rPr>
            </w:pPr>
            <w:r>
              <w:rPr>
                <w:rFonts w:hint="eastAsia" w:ascii="楷体" w:hAnsi="楷体" w:eastAsia="楷体" w:cs="楷体"/>
                <w:color w:val="auto"/>
                <w:szCs w:val="21"/>
                <w:highlight w:val="none"/>
              </w:rPr>
              <w:t>肖进</w:t>
            </w:r>
          </w:p>
        </w:tc>
        <w:tc>
          <w:tcPr>
            <w:tcW w:w="3647" w:type="dxa"/>
            <w:shd w:val="clear" w:color="000000" w:fill="auto"/>
            <w:vAlign w:val="center"/>
          </w:tcPr>
          <w:p>
            <w:pPr>
              <w:rPr>
                <w:rFonts w:hint="eastAsia" w:ascii="楷体" w:hAnsi="楷体" w:eastAsia="楷体" w:cs="楷体"/>
                <w:color w:val="auto"/>
                <w:szCs w:val="21"/>
                <w:highlight w:val="none"/>
                <w:lang w:eastAsia="zh-CN"/>
              </w:rPr>
            </w:pPr>
            <w:r>
              <w:rPr>
                <w:rFonts w:hint="eastAsia" w:ascii="楷体" w:hAnsi="楷体" w:eastAsia="楷体" w:cs="楷体"/>
                <w:color w:val="auto"/>
                <w:szCs w:val="21"/>
                <w:highlight w:val="none"/>
              </w:rPr>
              <w:t>参加标准的论证，提出</w:t>
            </w:r>
            <w:r>
              <w:rPr>
                <w:rFonts w:hint="eastAsia" w:ascii="楷体" w:hAnsi="楷体" w:eastAsia="楷体" w:cs="楷体"/>
                <w:color w:val="auto"/>
                <w:szCs w:val="21"/>
                <w:highlight w:val="none"/>
                <w:lang w:eastAsia="zh-CN"/>
              </w:rPr>
              <w:t>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numPr>
                <w:ilvl w:val="0"/>
                <w:numId w:val="4"/>
              </w:numPr>
              <w:ind w:left="635" w:leftChars="0" w:hanging="425" w:firstLineChars="0"/>
              <w:rPr>
                <w:rFonts w:hint="eastAsia" w:ascii="楷体" w:hAnsi="楷体" w:eastAsia="楷体" w:cs="楷体"/>
                <w:color w:val="auto"/>
                <w:szCs w:val="21"/>
                <w:highlight w:val="none"/>
              </w:rPr>
            </w:pPr>
          </w:p>
        </w:tc>
        <w:tc>
          <w:tcPr>
            <w:tcW w:w="3672" w:type="dxa"/>
            <w:shd w:val="clear" w:color="000000" w:fill="auto"/>
            <w:vAlign w:val="top"/>
          </w:tcPr>
          <w:p>
            <w:pPr>
              <w:widowControl/>
              <w:textAlignment w:val="center"/>
              <w:rPr>
                <w:rFonts w:hint="eastAsia" w:ascii="楷体" w:hAnsi="楷体" w:eastAsia="楷体" w:cs="楷体"/>
                <w:color w:val="auto"/>
                <w:kern w:val="0"/>
                <w:szCs w:val="21"/>
                <w:highlight w:val="none"/>
                <w:lang w:val="en-US" w:eastAsia="zh-CN"/>
              </w:rPr>
            </w:pPr>
            <w:r>
              <w:rPr>
                <w:rFonts w:hint="eastAsia" w:ascii="楷体" w:hAnsi="楷体" w:eastAsia="楷体" w:cs="楷体"/>
                <w:color w:val="auto"/>
                <w:kern w:val="0"/>
                <w:szCs w:val="21"/>
                <w:highlight w:val="none"/>
                <w:lang w:val="en-US" w:eastAsia="zh-CN"/>
              </w:rPr>
              <w:t>河南张仲景大药房股份有限公司</w:t>
            </w:r>
          </w:p>
        </w:tc>
        <w:tc>
          <w:tcPr>
            <w:tcW w:w="1455" w:type="dxa"/>
            <w:shd w:val="clear" w:color="000000" w:fill="auto"/>
            <w:vAlign w:val="center"/>
          </w:tcPr>
          <w:p>
            <w:pPr>
              <w:rPr>
                <w:rFonts w:hint="eastAsia" w:ascii="楷体" w:hAnsi="楷体" w:eastAsia="楷体" w:cs="楷体"/>
                <w:color w:val="auto"/>
                <w:szCs w:val="21"/>
                <w:highlight w:val="none"/>
              </w:rPr>
            </w:pPr>
            <w:r>
              <w:rPr>
                <w:rFonts w:hint="eastAsia" w:ascii="楷体" w:hAnsi="楷体" w:eastAsia="楷体" w:cs="楷体"/>
                <w:color w:val="auto"/>
                <w:szCs w:val="21"/>
                <w:highlight w:val="none"/>
              </w:rPr>
              <w:t>杨明江</w:t>
            </w:r>
          </w:p>
        </w:tc>
        <w:tc>
          <w:tcPr>
            <w:tcW w:w="3647" w:type="dxa"/>
            <w:shd w:val="clear" w:color="000000" w:fill="auto"/>
            <w:vAlign w:val="center"/>
          </w:tcPr>
          <w:p>
            <w:pPr>
              <w:rPr>
                <w:rFonts w:hint="eastAsia" w:ascii="楷体" w:hAnsi="楷体" w:eastAsia="楷体" w:cs="楷体"/>
                <w:color w:val="auto"/>
                <w:szCs w:val="21"/>
                <w:highlight w:val="none"/>
                <w:lang w:eastAsia="zh-CN"/>
              </w:rPr>
            </w:pPr>
            <w:r>
              <w:rPr>
                <w:rFonts w:hint="eastAsia" w:ascii="楷体" w:hAnsi="楷体" w:eastAsia="楷体" w:cs="楷体"/>
                <w:color w:val="auto"/>
                <w:szCs w:val="21"/>
                <w:highlight w:val="none"/>
              </w:rPr>
              <w:t>参加标准的论证，提出</w:t>
            </w:r>
            <w:r>
              <w:rPr>
                <w:rFonts w:hint="eastAsia" w:ascii="楷体" w:hAnsi="楷体" w:eastAsia="楷体" w:cs="楷体"/>
                <w:color w:val="auto"/>
                <w:szCs w:val="21"/>
                <w:highlight w:val="none"/>
                <w:lang w:eastAsia="zh-CN"/>
              </w:rPr>
              <w:t>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numPr>
                <w:ilvl w:val="0"/>
                <w:numId w:val="4"/>
              </w:numPr>
              <w:ind w:left="635" w:leftChars="0" w:hanging="425" w:firstLineChars="0"/>
              <w:rPr>
                <w:rFonts w:hint="eastAsia" w:ascii="楷体" w:hAnsi="楷体" w:eastAsia="楷体" w:cs="楷体"/>
                <w:color w:val="auto"/>
                <w:szCs w:val="21"/>
                <w:highlight w:val="none"/>
              </w:rPr>
            </w:pPr>
          </w:p>
        </w:tc>
        <w:tc>
          <w:tcPr>
            <w:tcW w:w="3672" w:type="dxa"/>
            <w:shd w:val="clear" w:color="000000" w:fill="auto"/>
            <w:vAlign w:val="top"/>
          </w:tcPr>
          <w:p>
            <w:pPr>
              <w:widowControl/>
              <w:textAlignment w:val="center"/>
              <w:rPr>
                <w:rFonts w:hint="eastAsia" w:ascii="楷体" w:hAnsi="楷体" w:eastAsia="楷体" w:cs="楷体"/>
                <w:color w:val="auto"/>
                <w:kern w:val="0"/>
                <w:szCs w:val="21"/>
                <w:highlight w:val="none"/>
                <w:lang w:val="en-US" w:eastAsia="zh-CN"/>
              </w:rPr>
            </w:pPr>
            <w:r>
              <w:rPr>
                <w:rFonts w:hint="eastAsia" w:ascii="楷体" w:hAnsi="楷体" w:eastAsia="楷体" w:cs="楷体"/>
                <w:color w:val="auto"/>
                <w:kern w:val="0"/>
                <w:szCs w:val="21"/>
                <w:highlight w:val="none"/>
                <w:lang w:val="en-US" w:eastAsia="zh-CN"/>
              </w:rPr>
              <w:t>好药师大药房连锁有限公司</w:t>
            </w:r>
          </w:p>
        </w:tc>
        <w:tc>
          <w:tcPr>
            <w:tcW w:w="1455" w:type="dxa"/>
            <w:shd w:val="clear" w:color="000000" w:fill="auto"/>
            <w:vAlign w:val="center"/>
          </w:tcPr>
          <w:p>
            <w:pPr>
              <w:rPr>
                <w:rFonts w:hint="eastAsia" w:ascii="楷体" w:hAnsi="楷体" w:eastAsia="楷体" w:cs="楷体"/>
                <w:color w:val="auto"/>
                <w:szCs w:val="21"/>
                <w:highlight w:val="none"/>
              </w:rPr>
            </w:pPr>
            <w:r>
              <w:rPr>
                <w:rFonts w:hint="eastAsia" w:ascii="楷体" w:hAnsi="楷体" w:eastAsia="楷体" w:cs="楷体"/>
                <w:color w:val="auto"/>
                <w:szCs w:val="21"/>
                <w:highlight w:val="none"/>
              </w:rPr>
              <w:t>刘黄河</w:t>
            </w:r>
          </w:p>
        </w:tc>
        <w:tc>
          <w:tcPr>
            <w:tcW w:w="3647" w:type="dxa"/>
            <w:shd w:val="clear" w:color="000000" w:fill="auto"/>
            <w:vAlign w:val="center"/>
          </w:tcPr>
          <w:p>
            <w:pPr>
              <w:rPr>
                <w:rFonts w:hint="eastAsia" w:ascii="楷体" w:hAnsi="楷体" w:eastAsia="楷体" w:cs="楷体"/>
                <w:color w:val="auto"/>
                <w:szCs w:val="21"/>
                <w:highlight w:val="none"/>
                <w:lang w:eastAsia="zh-CN"/>
              </w:rPr>
            </w:pPr>
            <w:r>
              <w:rPr>
                <w:rFonts w:hint="eastAsia" w:ascii="楷体" w:hAnsi="楷体" w:eastAsia="楷体" w:cs="楷体"/>
                <w:color w:val="auto"/>
                <w:szCs w:val="21"/>
                <w:highlight w:val="none"/>
              </w:rPr>
              <w:t>参与小组的研讨、提供相关的数据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numPr>
                <w:ilvl w:val="0"/>
                <w:numId w:val="4"/>
              </w:numPr>
              <w:ind w:left="635" w:leftChars="0" w:hanging="425" w:firstLineChars="0"/>
              <w:rPr>
                <w:rFonts w:hint="eastAsia" w:ascii="楷体" w:hAnsi="楷体" w:eastAsia="楷体" w:cs="楷体"/>
                <w:color w:val="auto"/>
                <w:szCs w:val="21"/>
                <w:highlight w:val="none"/>
              </w:rPr>
            </w:pPr>
          </w:p>
        </w:tc>
        <w:tc>
          <w:tcPr>
            <w:tcW w:w="3672" w:type="dxa"/>
            <w:shd w:val="clear" w:color="000000" w:fill="auto"/>
            <w:vAlign w:val="top"/>
          </w:tcPr>
          <w:p>
            <w:pPr>
              <w:widowControl/>
              <w:textAlignment w:val="center"/>
              <w:rPr>
                <w:rFonts w:hint="eastAsia" w:ascii="楷体" w:hAnsi="楷体" w:eastAsia="楷体" w:cs="楷体"/>
                <w:color w:val="auto"/>
                <w:kern w:val="0"/>
                <w:szCs w:val="21"/>
                <w:highlight w:val="none"/>
                <w:lang w:val="en-US" w:eastAsia="zh-CN"/>
              </w:rPr>
            </w:pPr>
            <w:r>
              <w:rPr>
                <w:rFonts w:hint="eastAsia" w:ascii="楷体" w:hAnsi="楷体" w:eastAsia="楷体" w:cs="楷体"/>
                <w:color w:val="auto"/>
                <w:kern w:val="0"/>
                <w:szCs w:val="21"/>
                <w:highlight w:val="none"/>
                <w:lang w:val="en-US" w:eastAsia="zh-CN"/>
              </w:rPr>
              <w:t>鹭燕医药股份有限公司</w:t>
            </w:r>
          </w:p>
        </w:tc>
        <w:tc>
          <w:tcPr>
            <w:tcW w:w="1455" w:type="dxa"/>
            <w:shd w:val="clear" w:color="000000" w:fill="auto"/>
            <w:vAlign w:val="center"/>
          </w:tcPr>
          <w:p>
            <w:pPr>
              <w:rPr>
                <w:rFonts w:hint="eastAsia" w:ascii="楷体" w:hAnsi="楷体" w:eastAsia="楷体" w:cs="楷体"/>
                <w:color w:val="auto"/>
                <w:szCs w:val="21"/>
                <w:highlight w:val="none"/>
              </w:rPr>
            </w:pPr>
            <w:r>
              <w:rPr>
                <w:rFonts w:hint="eastAsia" w:ascii="楷体" w:hAnsi="楷体" w:eastAsia="楷体" w:cs="楷体"/>
                <w:color w:val="auto"/>
                <w:szCs w:val="21"/>
                <w:highlight w:val="none"/>
              </w:rPr>
              <w:t>李晓辉</w:t>
            </w:r>
          </w:p>
        </w:tc>
        <w:tc>
          <w:tcPr>
            <w:tcW w:w="3647" w:type="dxa"/>
            <w:shd w:val="clear" w:color="000000" w:fill="auto"/>
            <w:vAlign w:val="center"/>
          </w:tcPr>
          <w:p>
            <w:pPr>
              <w:rPr>
                <w:rFonts w:hint="eastAsia" w:ascii="楷体" w:hAnsi="楷体" w:eastAsia="楷体" w:cs="楷体"/>
                <w:color w:val="auto"/>
                <w:kern w:val="2"/>
                <w:sz w:val="21"/>
                <w:szCs w:val="21"/>
                <w:highlight w:val="none"/>
                <w:lang w:val="en-US" w:eastAsia="zh-CN" w:bidi="ar-SA"/>
              </w:rPr>
            </w:pPr>
            <w:r>
              <w:rPr>
                <w:rFonts w:hint="eastAsia" w:ascii="楷体" w:hAnsi="楷体" w:eastAsia="楷体" w:cs="楷体"/>
                <w:color w:val="auto"/>
                <w:szCs w:val="21"/>
                <w:highlight w:val="none"/>
              </w:rPr>
              <w:t>参加标准的论证，提出</w:t>
            </w:r>
            <w:r>
              <w:rPr>
                <w:rFonts w:hint="eastAsia" w:ascii="楷体" w:hAnsi="楷体" w:eastAsia="楷体" w:cs="楷体"/>
                <w:color w:val="auto"/>
                <w:szCs w:val="21"/>
                <w:highlight w:val="none"/>
                <w:lang w:eastAsia="zh-CN"/>
              </w:rPr>
              <w:t>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numPr>
                <w:ilvl w:val="0"/>
                <w:numId w:val="4"/>
              </w:numPr>
              <w:ind w:left="635" w:leftChars="0" w:hanging="425" w:firstLineChars="0"/>
              <w:rPr>
                <w:rFonts w:hint="eastAsia" w:ascii="楷体" w:hAnsi="楷体" w:eastAsia="楷体" w:cs="楷体"/>
                <w:color w:val="auto"/>
                <w:szCs w:val="21"/>
                <w:highlight w:val="none"/>
              </w:rPr>
            </w:pPr>
          </w:p>
        </w:tc>
        <w:tc>
          <w:tcPr>
            <w:tcW w:w="3672" w:type="dxa"/>
            <w:shd w:val="clear" w:color="000000" w:fill="auto"/>
            <w:vAlign w:val="top"/>
          </w:tcPr>
          <w:p>
            <w:pPr>
              <w:widowControl/>
              <w:textAlignment w:val="center"/>
              <w:rPr>
                <w:rFonts w:hint="eastAsia" w:ascii="楷体" w:hAnsi="楷体" w:eastAsia="楷体" w:cs="楷体"/>
                <w:color w:val="auto"/>
                <w:kern w:val="0"/>
                <w:szCs w:val="21"/>
                <w:highlight w:val="none"/>
                <w:lang w:val="en-US" w:eastAsia="zh-CN"/>
              </w:rPr>
            </w:pPr>
            <w:r>
              <w:rPr>
                <w:rFonts w:hint="eastAsia" w:ascii="楷体" w:hAnsi="楷体" w:eastAsia="楷体" w:cs="楷体"/>
                <w:color w:val="auto"/>
                <w:kern w:val="0"/>
                <w:szCs w:val="21"/>
                <w:highlight w:val="none"/>
                <w:lang w:val="en-US" w:eastAsia="zh-CN"/>
              </w:rPr>
              <w:t>高济健康集团</w:t>
            </w:r>
          </w:p>
        </w:tc>
        <w:tc>
          <w:tcPr>
            <w:tcW w:w="1455" w:type="dxa"/>
            <w:shd w:val="clear" w:color="000000" w:fill="auto"/>
            <w:vAlign w:val="center"/>
          </w:tcPr>
          <w:p>
            <w:pPr>
              <w:rPr>
                <w:rFonts w:hint="eastAsia" w:ascii="楷体" w:hAnsi="楷体" w:eastAsia="楷体" w:cs="楷体"/>
                <w:color w:val="auto"/>
                <w:szCs w:val="21"/>
                <w:highlight w:val="none"/>
              </w:rPr>
            </w:pPr>
            <w:r>
              <w:rPr>
                <w:rFonts w:hint="eastAsia" w:ascii="楷体" w:hAnsi="楷体" w:eastAsia="楷体" w:cs="楷体"/>
                <w:color w:val="auto"/>
                <w:szCs w:val="21"/>
                <w:highlight w:val="none"/>
              </w:rPr>
              <w:t>孔鸣凤</w:t>
            </w:r>
          </w:p>
        </w:tc>
        <w:tc>
          <w:tcPr>
            <w:tcW w:w="3647" w:type="dxa"/>
            <w:shd w:val="clear" w:color="000000" w:fill="auto"/>
            <w:vAlign w:val="center"/>
          </w:tcPr>
          <w:p>
            <w:pPr>
              <w:rPr>
                <w:rFonts w:hint="eastAsia" w:ascii="楷体" w:hAnsi="楷体" w:eastAsia="楷体" w:cs="楷体"/>
                <w:color w:val="auto"/>
                <w:szCs w:val="21"/>
                <w:highlight w:val="none"/>
              </w:rPr>
            </w:pPr>
            <w:r>
              <w:rPr>
                <w:rFonts w:hint="eastAsia" w:ascii="楷体" w:hAnsi="楷体" w:eastAsia="楷体" w:cs="楷体"/>
                <w:color w:val="auto"/>
                <w:szCs w:val="21"/>
                <w:highlight w:val="none"/>
              </w:rPr>
              <w:t>参加标准的论证，提出</w:t>
            </w:r>
            <w:r>
              <w:rPr>
                <w:rFonts w:hint="eastAsia" w:ascii="楷体" w:hAnsi="楷体" w:eastAsia="楷体" w:cs="楷体"/>
                <w:color w:val="auto"/>
                <w:szCs w:val="21"/>
                <w:highlight w:val="none"/>
                <w:lang w:eastAsia="zh-CN"/>
              </w:rPr>
              <w:t>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numPr>
                <w:ilvl w:val="0"/>
                <w:numId w:val="4"/>
              </w:numPr>
              <w:ind w:left="635" w:leftChars="0" w:hanging="425" w:firstLineChars="0"/>
              <w:rPr>
                <w:rFonts w:hint="eastAsia" w:ascii="楷体" w:hAnsi="楷体" w:eastAsia="楷体" w:cs="楷体"/>
                <w:color w:val="auto"/>
                <w:szCs w:val="21"/>
                <w:highlight w:val="none"/>
              </w:rPr>
            </w:pPr>
          </w:p>
        </w:tc>
        <w:tc>
          <w:tcPr>
            <w:tcW w:w="3672" w:type="dxa"/>
            <w:shd w:val="clear" w:color="000000" w:fill="auto"/>
            <w:vAlign w:val="top"/>
          </w:tcPr>
          <w:p>
            <w:pPr>
              <w:widowControl/>
              <w:textAlignment w:val="center"/>
              <w:rPr>
                <w:rFonts w:hint="eastAsia" w:ascii="楷体" w:hAnsi="楷体" w:eastAsia="楷体" w:cs="楷体"/>
                <w:color w:val="auto"/>
                <w:kern w:val="0"/>
                <w:szCs w:val="21"/>
                <w:highlight w:val="none"/>
                <w:lang w:val="en-US" w:eastAsia="zh-CN"/>
              </w:rPr>
            </w:pPr>
            <w:r>
              <w:rPr>
                <w:rFonts w:hint="eastAsia" w:ascii="楷体" w:hAnsi="楷体" w:eastAsia="楷体" w:cs="楷体"/>
                <w:color w:val="auto"/>
                <w:kern w:val="0"/>
                <w:szCs w:val="21"/>
                <w:highlight w:val="none"/>
                <w:lang w:val="en-US" w:eastAsia="zh-CN"/>
              </w:rPr>
              <w:t>上海腾翼搏时供应链有限公司</w:t>
            </w:r>
          </w:p>
        </w:tc>
        <w:tc>
          <w:tcPr>
            <w:tcW w:w="1455" w:type="dxa"/>
            <w:shd w:val="clear" w:color="000000" w:fill="auto"/>
            <w:vAlign w:val="center"/>
          </w:tcPr>
          <w:p>
            <w:pPr>
              <w:rPr>
                <w:rFonts w:hint="eastAsia" w:ascii="楷体" w:hAnsi="楷体" w:eastAsia="楷体" w:cs="楷体"/>
                <w:color w:val="auto"/>
                <w:szCs w:val="21"/>
                <w:highlight w:val="none"/>
              </w:rPr>
            </w:pPr>
            <w:r>
              <w:rPr>
                <w:rFonts w:hint="eastAsia" w:ascii="楷体" w:hAnsi="楷体" w:eastAsia="楷体" w:cs="楷体"/>
                <w:color w:val="auto"/>
                <w:szCs w:val="21"/>
                <w:highlight w:val="none"/>
              </w:rPr>
              <w:t>于松海</w:t>
            </w:r>
          </w:p>
        </w:tc>
        <w:tc>
          <w:tcPr>
            <w:tcW w:w="3647" w:type="dxa"/>
            <w:shd w:val="clear" w:color="000000" w:fill="auto"/>
            <w:vAlign w:val="center"/>
          </w:tcPr>
          <w:p>
            <w:pPr>
              <w:rPr>
                <w:rFonts w:hint="eastAsia" w:ascii="楷体" w:hAnsi="楷体" w:eastAsia="楷体" w:cs="楷体"/>
                <w:color w:val="auto"/>
                <w:kern w:val="2"/>
                <w:sz w:val="21"/>
                <w:szCs w:val="21"/>
                <w:highlight w:val="none"/>
                <w:lang w:val="en-US" w:eastAsia="zh-CN" w:bidi="ar-SA"/>
              </w:rPr>
            </w:pPr>
            <w:r>
              <w:rPr>
                <w:rFonts w:hint="eastAsia" w:ascii="楷体" w:hAnsi="楷体" w:eastAsia="楷体" w:cs="楷体"/>
                <w:color w:val="auto"/>
                <w:szCs w:val="21"/>
                <w:highlight w:val="none"/>
              </w:rPr>
              <w:t>参与小组的研讨、提供相关的数据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numPr>
                <w:ilvl w:val="0"/>
                <w:numId w:val="4"/>
              </w:numPr>
              <w:ind w:left="635" w:leftChars="0" w:hanging="425" w:firstLineChars="0"/>
              <w:rPr>
                <w:rFonts w:hint="eastAsia" w:ascii="楷体" w:hAnsi="楷体" w:eastAsia="楷体" w:cs="楷体"/>
                <w:color w:val="auto"/>
                <w:szCs w:val="21"/>
                <w:highlight w:val="none"/>
              </w:rPr>
            </w:pPr>
          </w:p>
        </w:tc>
        <w:tc>
          <w:tcPr>
            <w:tcW w:w="3672" w:type="dxa"/>
            <w:shd w:val="clear" w:color="000000" w:fill="auto"/>
            <w:vAlign w:val="top"/>
          </w:tcPr>
          <w:p>
            <w:pPr>
              <w:widowControl/>
              <w:textAlignment w:val="center"/>
              <w:rPr>
                <w:rFonts w:hint="eastAsia" w:ascii="楷体" w:hAnsi="楷体" w:eastAsia="楷体" w:cs="楷体"/>
                <w:color w:val="auto"/>
                <w:kern w:val="0"/>
                <w:szCs w:val="21"/>
                <w:highlight w:val="none"/>
                <w:lang w:val="en-US" w:eastAsia="zh-CN"/>
              </w:rPr>
            </w:pPr>
            <w:r>
              <w:rPr>
                <w:rFonts w:hint="eastAsia" w:ascii="楷体" w:hAnsi="楷体" w:eastAsia="楷体" w:cs="楷体"/>
                <w:color w:val="auto"/>
                <w:kern w:val="0"/>
                <w:szCs w:val="21"/>
                <w:highlight w:val="none"/>
                <w:lang w:val="en-US" w:eastAsia="zh-CN"/>
              </w:rPr>
              <w:t>青岛海尔生物医疗股份有限公司</w:t>
            </w:r>
          </w:p>
        </w:tc>
        <w:tc>
          <w:tcPr>
            <w:tcW w:w="1455" w:type="dxa"/>
            <w:shd w:val="clear" w:color="000000" w:fill="auto"/>
            <w:vAlign w:val="center"/>
          </w:tcPr>
          <w:p>
            <w:pPr>
              <w:rPr>
                <w:rFonts w:hint="eastAsia" w:ascii="楷体" w:hAnsi="楷体" w:eastAsia="楷体" w:cs="楷体"/>
                <w:color w:val="auto"/>
                <w:szCs w:val="21"/>
                <w:highlight w:val="none"/>
              </w:rPr>
            </w:pPr>
            <w:r>
              <w:rPr>
                <w:rFonts w:hint="eastAsia" w:ascii="楷体" w:hAnsi="楷体" w:eastAsia="楷体" w:cs="楷体"/>
                <w:color w:val="auto"/>
                <w:szCs w:val="21"/>
                <w:highlight w:val="none"/>
              </w:rPr>
              <w:t>刘占杰</w:t>
            </w:r>
          </w:p>
        </w:tc>
        <w:tc>
          <w:tcPr>
            <w:tcW w:w="3647" w:type="dxa"/>
            <w:shd w:val="clear" w:color="000000" w:fill="auto"/>
            <w:vAlign w:val="center"/>
          </w:tcPr>
          <w:p>
            <w:pPr>
              <w:rPr>
                <w:rFonts w:hint="eastAsia" w:ascii="楷体" w:hAnsi="楷体" w:eastAsia="楷体" w:cs="楷体"/>
                <w:color w:val="auto"/>
                <w:szCs w:val="21"/>
                <w:highlight w:val="none"/>
              </w:rPr>
            </w:pPr>
            <w:r>
              <w:rPr>
                <w:rFonts w:hint="eastAsia" w:ascii="楷体" w:hAnsi="楷体" w:eastAsia="楷体" w:cs="楷体"/>
                <w:color w:val="auto"/>
                <w:szCs w:val="21"/>
                <w:highlight w:val="none"/>
              </w:rPr>
              <w:t>参与小组的研讨、提供相关的数据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numPr>
                <w:ilvl w:val="0"/>
                <w:numId w:val="4"/>
              </w:numPr>
              <w:ind w:left="635" w:leftChars="0" w:hanging="425" w:firstLineChars="0"/>
              <w:rPr>
                <w:rFonts w:hint="eastAsia" w:ascii="楷体" w:hAnsi="楷体" w:eastAsia="楷体" w:cs="楷体"/>
                <w:color w:val="auto"/>
                <w:szCs w:val="21"/>
                <w:highlight w:val="none"/>
              </w:rPr>
            </w:pPr>
          </w:p>
        </w:tc>
        <w:tc>
          <w:tcPr>
            <w:tcW w:w="3672" w:type="dxa"/>
            <w:shd w:val="clear" w:color="000000" w:fill="auto"/>
            <w:vAlign w:val="top"/>
          </w:tcPr>
          <w:p>
            <w:pPr>
              <w:widowControl/>
              <w:textAlignment w:val="center"/>
              <w:rPr>
                <w:rFonts w:hint="eastAsia" w:ascii="楷体" w:hAnsi="楷体" w:eastAsia="楷体" w:cs="楷体"/>
                <w:color w:val="auto"/>
                <w:kern w:val="0"/>
                <w:szCs w:val="21"/>
                <w:highlight w:val="none"/>
                <w:lang w:val="en-US" w:eastAsia="zh-CN"/>
              </w:rPr>
            </w:pPr>
            <w:r>
              <w:rPr>
                <w:rFonts w:hint="eastAsia" w:ascii="楷体" w:hAnsi="楷体" w:eastAsia="楷体" w:cs="楷体"/>
                <w:color w:val="auto"/>
                <w:kern w:val="0"/>
                <w:szCs w:val="21"/>
                <w:highlight w:val="none"/>
                <w:lang w:val="en-US" w:eastAsia="zh-CN"/>
              </w:rPr>
              <w:t>德力新能源汽车有限公司</w:t>
            </w:r>
          </w:p>
        </w:tc>
        <w:tc>
          <w:tcPr>
            <w:tcW w:w="1455" w:type="dxa"/>
            <w:shd w:val="clear" w:color="000000" w:fill="auto"/>
            <w:vAlign w:val="center"/>
          </w:tcPr>
          <w:p>
            <w:pPr>
              <w:rPr>
                <w:rFonts w:hint="eastAsia" w:ascii="楷体" w:hAnsi="楷体" w:eastAsia="楷体" w:cs="楷体"/>
                <w:color w:val="auto"/>
                <w:szCs w:val="21"/>
                <w:highlight w:val="none"/>
              </w:rPr>
            </w:pPr>
            <w:r>
              <w:rPr>
                <w:rFonts w:hint="eastAsia" w:ascii="楷体" w:hAnsi="楷体" w:eastAsia="楷体" w:cs="楷体"/>
                <w:color w:val="auto"/>
                <w:szCs w:val="21"/>
                <w:highlight w:val="none"/>
              </w:rPr>
              <w:t>柳泽中</w:t>
            </w:r>
          </w:p>
        </w:tc>
        <w:tc>
          <w:tcPr>
            <w:tcW w:w="3647" w:type="dxa"/>
            <w:shd w:val="clear" w:color="000000" w:fill="auto"/>
            <w:vAlign w:val="center"/>
          </w:tcPr>
          <w:p>
            <w:pPr>
              <w:rPr>
                <w:rFonts w:hint="eastAsia" w:ascii="楷体" w:hAnsi="楷体" w:eastAsia="楷体" w:cs="楷体"/>
                <w:color w:val="auto"/>
                <w:szCs w:val="21"/>
                <w:highlight w:val="none"/>
                <w:lang w:eastAsia="zh-CN"/>
              </w:rPr>
            </w:pPr>
            <w:r>
              <w:rPr>
                <w:rFonts w:hint="eastAsia" w:ascii="楷体" w:hAnsi="楷体" w:eastAsia="楷体" w:cs="楷体"/>
                <w:color w:val="auto"/>
                <w:szCs w:val="21"/>
                <w:highlight w:val="none"/>
              </w:rPr>
              <w:t>参加标准的论证，提出</w:t>
            </w:r>
            <w:r>
              <w:rPr>
                <w:rFonts w:hint="eastAsia" w:ascii="楷体" w:hAnsi="楷体" w:eastAsia="楷体" w:cs="楷体"/>
                <w:color w:val="auto"/>
                <w:szCs w:val="21"/>
                <w:highlight w:val="none"/>
                <w:lang w:eastAsia="zh-CN"/>
              </w:rPr>
              <w:t>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numPr>
                <w:ilvl w:val="0"/>
                <w:numId w:val="4"/>
              </w:numPr>
              <w:ind w:left="635" w:leftChars="0" w:hanging="425" w:firstLineChars="0"/>
              <w:rPr>
                <w:rFonts w:hint="eastAsia" w:ascii="楷体" w:hAnsi="楷体" w:eastAsia="楷体" w:cs="楷体"/>
                <w:color w:val="auto"/>
                <w:szCs w:val="21"/>
                <w:highlight w:val="none"/>
              </w:rPr>
            </w:pPr>
          </w:p>
        </w:tc>
        <w:tc>
          <w:tcPr>
            <w:tcW w:w="3672" w:type="dxa"/>
            <w:shd w:val="clear" w:color="000000" w:fill="auto"/>
            <w:vAlign w:val="top"/>
          </w:tcPr>
          <w:p>
            <w:pPr>
              <w:widowControl/>
              <w:textAlignment w:val="center"/>
              <w:rPr>
                <w:rFonts w:hint="eastAsia" w:ascii="楷体" w:hAnsi="楷体" w:eastAsia="楷体" w:cs="楷体"/>
                <w:color w:val="auto"/>
                <w:kern w:val="0"/>
                <w:szCs w:val="21"/>
                <w:highlight w:val="none"/>
                <w:lang w:val="en-US" w:eastAsia="zh-CN"/>
              </w:rPr>
            </w:pPr>
            <w:r>
              <w:rPr>
                <w:rFonts w:hint="eastAsia" w:ascii="楷体" w:hAnsi="楷体" w:eastAsia="楷体" w:cs="楷体"/>
                <w:color w:val="auto"/>
                <w:kern w:val="0"/>
                <w:szCs w:val="21"/>
                <w:highlight w:val="none"/>
                <w:lang w:val="en-US" w:eastAsia="zh-CN"/>
              </w:rPr>
              <w:t>四川万物纪年信息科技有限公司</w:t>
            </w:r>
          </w:p>
        </w:tc>
        <w:tc>
          <w:tcPr>
            <w:tcW w:w="1455" w:type="dxa"/>
            <w:shd w:val="clear" w:color="000000" w:fill="auto"/>
            <w:vAlign w:val="center"/>
          </w:tcPr>
          <w:p>
            <w:pPr>
              <w:rPr>
                <w:rFonts w:hint="eastAsia" w:ascii="楷体" w:hAnsi="楷体" w:eastAsia="楷体" w:cs="楷体"/>
                <w:color w:val="auto"/>
                <w:szCs w:val="21"/>
                <w:highlight w:val="none"/>
              </w:rPr>
            </w:pPr>
            <w:r>
              <w:rPr>
                <w:rFonts w:hint="eastAsia" w:ascii="楷体" w:hAnsi="楷体" w:eastAsia="楷体" w:cs="楷体"/>
                <w:color w:val="auto"/>
                <w:szCs w:val="21"/>
                <w:highlight w:val="none"/>
              </w:rPr>
              <w:t>王雅萍</w:t>
            </w:r>
          </w:p>
        </w:tc>
        <w:tc>
          <w:tcPr>
            <w:tcW w:w="3647" w:type="dxa"/>
            <w:shd w:val="clear" w:color="000000" w:fill="auto"/>
            <w:vAlign w:val="center"/>
          </w:tcPr>
          <w:p>
            <w:pPr>
              <w:rPr>
                <w:rFonts w:hint="eastAsia" w:ascii="楷体" w:hAnsi="楷体" w:eastAsia="楷体" w:cs="楷体"/>
                <w:color w:val="auto"/>
                <w:szCs w:val="21"/>
                <w:highlight w:val="none"/>
                <w:lang w:eastAsia="zh-CN"/>
              </w:rPr>
            </w:pPr>
            <w:r>
              <w:rPr>
                <w:rFonts w:hint="eastAsia" w:ascii="楷体" w:hAnsi="楷体" w:eastAsia="楷体" w:cs="楷体"/>
                <w:color w:val="auto"/>
                <w:szCs w:val="21"/>
                <w:highlight w:val="none"/>
              </w:rPr>
              <w:t>参加标准的论证，提出</w:t>
            </w:r>
            <w:r>
              <w:rPr>
                <w:rFonts w:hint="eastAsia" w:ascii="楷体" w:hAnsi="楷体" w:eastAsia="楷体" w:cs="楷体"/>
                <w:color w:val="auto"/>
                <w:szCs w:val="21"/>
                <w:highlight w:val="none"/>
                <w:lang w:eastAsia="zh-CN"/>
              </w:rPr>
              <w:t>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numPr>
                <w:ilvl w:val="0"/>
                <w:numId w:val="4"/>
              </w:numPr>
              <w:ind w:left="635" w:leftChars="0" w:hanging="425" w:firstLineChars="0"/>
              <w:rPr>
                <w:rFonts w:hint="eastAsia" w:ascii="楷体" w:hAnsi="楷体" w:eastAsia="楷体" w:cs="楷体"/>
                <w:color w:val="auto"/>
                <w:szCs w:val="21"/>
                <w:highlight w:val="none"/>
              </w:rPr>
            </w:pPr>
          </w:p>
        </w:tc>
        <w:tc>
          <w:tcPr>
            <w:tcW w:w="3672" w:type="dxa"/>
            <w:shd w:val="clear" w:color="000000" w:fill="auto"/>
            <w:vAlign w:val="top"/>
          </w:tcPr>
          <w:p>
            <w:pPr>
              <w:widowControl/>
              <w:textAlignment w:val="center"/>
              <w:rPr>
                <w:rFonts w:hint="eastAsia" w:ascii="楷体" w:hAnsi="楷体" w:eastAsia="楷体" w:cs="楷体"/>
                <w:color w:val="auto"/>
                <w:kern w:val="0"/>
                <w:szCs w:val="21"/>
                <w:highlight w:val="none"/>
                <w:lang w:val="en-US" w:eastAsia="zh-CN"/>
              </w:rPr>
            </w:pPr>
            <w:r>
              <w:rPr>
                <w:rFonts w:hint="eastAsia" w:ascii="楷体" w:hAnsi="楷体" w:eastAsia="楷体" w:cs="楷体"/>
                <w:color w:val="auto"/>
                <w:kern w:val="0"/>
                <w:szCs w:val="21"/>
                <w:highlight w:val="none"/>
                <w:lang w:val="en-US" w:eastAsia="zh-CN"/>
              </w:rPr>
              <w:t>湖北凯乐仕通达科技有限公司</w:t>
            </w:r>
          </w:p>
        </w:tc>
        <w:tc>
          <w:tcPr>
            <w:tcW w:w="1455" w:type="dxa"/>
            <w:shd w:val="clear" w:color="000000" w:fill="auto"/>
            <w:vAlign w:val="center"/>
          </w:tcPr>
          <w:p>
            <w:pPr>
              <w:rPr>
                <w:rFonts w:hint="eastAsia" w:ascii="楷体" w:hAnsi="楷体" w:eastAsia="楷体" w:cs="楷体"/>
                <w:color w:val="auto"/>
                <w:szCs w:val="21"/>
                <w:highlight w:val="none"/>
              </w:rPr>
            </w:pPr>
            <w:r>
              <w:rPr>
                <w:rFonts w:hint="eastAsia" w:ascii="楷体" w:hAnsi="楷体" w:eastAsia="楷体" w:cs="楷体"/>
                <w:color w:val="auto"/>
                <w:szCs w:val="21"/>
                <w:highlight w:val="none"/>
              </w:rPr>
              <w:t>白红星</w:t>
            </w:r>
          </w:p>
        </w:tc>
        <w:tc>
          <w:tcPr>
            <w:tcW w:w="3647" w:type="dxa"/>
            <w:shd w:val="clear" w:color="000000" w:fill="auto"/>
            <w:vAlign w:val="center"/>
          </w:tcPr>
          <w:p>
            <w:pPr>
              <w:rPr>
                <w:rFonts w:hint="eastAsia" w:ascii="楷体" w:hAnsi="楷体" w:eastAsia="楷体" w:cs="楷体"/>
                <w:color w:val="auto"/>
                <w:szCs w:val="21"/>
                <w:highlight w:val="none"/>
              </w:rPr>
            </w:pPr>
            <w:r>
              <w:rPr>
                <w:rFonts w:hint="eastAsia" w:ascii="楷体" w:hAnsi="楷体" w:eastAsia="楷体" w:cs="楷体"/>
                <w:color w:val="auto"/>
                <w:szCs w:val="21"/>
                <w:highlight w:val="none"/>
              </w:rPr>
              <w:t>参加标准的论证，提出</w:t>
            </w:r>
            <w:r>
              <w:rPr>
                <w:rFonts w:hint="eastAsia" w:ascii="楷体" w:hAnsi="楷体" w:eastAsia="楷体" w:cs="楷体"/>
                <w:color w:val="auto"/>
                <w:szCs w:val="21"/>
                <w:highlight w:val="none"/>
                <w:lang w:eastAsia="zh-CN"/>
              </w:rPr>
              <w:t>修改意见</w:t>
            </w:r>
            <w:bookmarkStart w:id="0" w:name="_GoBack"/>
            <w:bookmarkEnd w:id="0"/>
          </w:p>
        </w:tc>
      </w:tr>
    </w:tbl>
    <w:p>
      <w:pPr>
        <w:ind w:firstLine="640" w:firstLineChars="200"/>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二、编制原则、主要内容及其确定的来源和依据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color w:val="auto"/>
          <w:sz w:val="32"/>
          <w:szCs w:val="32"/>
          <w:highlight w:val="none"/>
          <w:lang w:val="en-US" w:eastAsia="zh-CN"/>
        </w:rPr>
      </w:pPr>
      <w:r>
        <w:rPr>
          <w:rFonts w:hint="eastAsia"/>
          <w:color w:val="auto"/>
          <w:sz w:val="32"/>
          <w:szCs w:val="32"/>
          <w:highlight w:val="none"/>
          <w:lang w:eastAsia="zh-CN"/>
        </w:rPr>
        <w:t>（</w:t>
      </w:r>
      <w:r>
        <w:rPr>
          <w:rFonts w:hint="eastAsia"/>
          <w:color w:val="auto"/>
          <w:sz w:val="32"/>
          <w:szCs w:val="32"/>
          <w:highlight w:val="none"/>
          <w:lang w:val="en-US" w:eastAsia="zh-CN"/>
        </w:rPr>
        <w:t>一）编制原则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1、指导性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标准能够规范药品网络零售配送行为，为药品网络零售配送中制度管理、人员培训、设施设备管理、服务流程要求、档案管理、应急处置等工作提供参考依据。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2、适用性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本标准与现行的法律法规相互协调，且规定的条款适用我国目前行业发展的现状，在行业内具有普遍适用性。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color w:val="auto"/>
          <w:sz w:val="32"/>
          <w:szCs w:val="32"/>
          <w:highlight w:val="none"/>
          <w:lang w:val="en-US" w:eastAsia="zh-CN"/>
        </w:rPr>
      </w:pPr>
      <w:r>
        <w:rPr>
          <w:rFonts w:hint="eastAsia"/>
          <w:color w:val="auto"/>
          <w:sz w:val="32"/>
          <w:szCs w:val="32"/>
          <w:highlight w:val="none"/>
          <w:lang w:val="en-US" w:eastAsia="zh-CN"/>
        </w:rPr>
        <w:t>（二）主要内容及其确定依据</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1、标准范围</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本文件规定了网络零售药品配送基本要求，人员与培训、设施设备、服务流程、信息管理、档案管理、应急处置、服务评价与改进等要求。</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本文件适用于网络零售药品配送的服务与管理。</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楷体" w:hAnsi="楷体" w:eastAsia="楷体" w:cs="楷体"/>
          <w:color w:val="auto"/>
          <w:sz w:val="32"/>
          <w:szCs w:val="32"/>
          <w:highlight w:val="none"/>
          <w:lang w:val="en-US" w:eastAsia="zh-CN"/>
        </w:rPr>
      </w:pPr>
      <w:r>
        <w:rPr>
          <w:rFonts w:hint="eastAsia" w:ascii="楷体" w:hAnsi="楷体" w:eastAsia="楷体" w:cs="楷体"/>
          <w:color w:val="auto"/>
          <w:kern w:val="2"/>
          <w:sz w:val="32"/>
          <w:szCs w:val="32"/>
          <w:lang w:val="en-US" w:eastAsia="zh-CN" w:bidi="ar-SA"/>
        </w:rPr>
        <w:t>2、</w:t>
      </w:r>
      <w:r>
        <w:rPr>
          <w:rFonts w:hint="eastAsia" w:ascii="楷体" w:hAnsi="楷体" w:eastAsia="楷体" w:cs="楷体"/>
          <w:color w:val="auto"/>
          <w:sz w:val="32"/>
          <w:szCs w:val="32"/>
          <w:highlight w:val="none"/>
          <w:lang w:val="en-US" w:eastAsia="zh-CN"/>
        </w:rPr>
        <w:t>规范性引用文件</w:t>
      </w:r>
    </w:p>
    <w:p>
      <w:pPr>
        <w:keepNext w:val="0"/>
        <w:keepLines w:val="0"/>
        <w:pageBreakBefore w:val="0"/>
        <w:widowControl w:val="0"/>
        <w:numPr>
          <w:ilvl w:val="-1"/>
          <w:numId w:val="0"/>
        </w:numPr>
        <w:kinsoku/>
        <w:wordWrap/>
        <w:overflowPunct/>
        <w:topLinePunct w:val="0"/>
        <w:autoSpaceDE/>
        <w:autoSpaceDN/>
        <w:bidi w:val="0"/>
        <w:adjustRightInd/>
        <w:snapToGrid/>
        <w:ind w:firstLine="0" w:firstLineChars="0"/>
        <w:textAlignment w:val="auto"/>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标准中在信息、药品冷链物流、验证、保温箱、冷藏车配置等方面引用了如下标准GB/T 20269《信息安全技术 信息系统安全管理要求 》、GB/T 20270《信息安全技术 网络基础安全技术要求 》、GB/T 20271《信息安全技术 信息系统通用安全技术要求》、GB/T 28842《药品冷链物流运作规范》、GB/T 34399《医药产品冷链物流温控设施设备验证 性能确认技术规范》、WB/T 1097《药品冷链保温箱通用规范》、WB/T 1104《道路运输 医药产品冷藏车功能配置要求》。</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楷体" w:hAnsi="楷体" w:eastAsia="楷体" w:cs="楷体"/>
          <w:color w:val="auto"/>
          <w:sz w:val="32"/>
          <w:szCs w:val="32"/>
          <w:highlight w:val="none"/>
          <w:lang w:val="en-US" w:eastAsia="zh-CN"/>
        </w:rPr>
      </w:pPr>
      <w:r>
        <w:rPr>
          <w:rFonts w:hint="eastAsia" w:ascii="楷体" w:hAnsi="楷体" w:eastAsia="楷体" w:cs="楷体"/>
          <w:color w:val="auto"/>
          <w:kern w:val="2"/>
          <w:sz w:val="32"/>
          <w:szCs w:val="32"/>
          <w:lang w:val="en-US" w:eastAsia="zh-CN" w:bidi="ar-SA"/>
        </w:rPr>
        <w:t>3、</w:t>
      </w:r>
      <w:r>
        <w:rPr>
          <w:rFonts w:hint="eastAsia" w:ascii="楷体" w:hAnsi="楷体" w:eastAsia="楷体" w:cs="楷体"/>
          <w:color w:val="auto"/>
          <w:sz w:val="32"/>
          <w:szCs w:val="32"/>
          <w:highlight w:val="none"/>
          <w:lang w:val="en-US" w:eastAsia="zh-CN"/>
        </w:rPr>
        <w:t>术语定义</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（1）</w:t>
      </w:r>
      <w:r>
        <w:rPr>
          <w:rFonts w:hint="default" w:ascii="楷体" w:hAnsi="楷体" w:eastAsia="楷体" w:cs="楷体"/>
          <w:color w:val="auto"/>
          <w:sz w:val="32"/>
          <w:szCs w:val="32"/>
          <w:highlight w:val="none"/>
          <w:lang w:val="en-US" w:eastAsia="zh-CN"/>
        </w:rPr>
        <w:t>网络零售药品配送</w:t>
      </w:r>
      <w:r>
        <w:rPr>
          <w:rFonts w:hint="eastAsia" w:ascii="楷体" w:hAnsi="楷体" w:eastAsia="楷体" w:cs="楷体"/>
          <w:color w:val="auto"/>
          <w:sz w:val="32"/>
          <w:szCs w:val="32"/>
          <w:highlight w:val="none"/>
          <w:lang w:val="en-US" w:eastAsia="zh-CN"/>
        </w:rPr>
        <w:t>服务，delivery service of online retail medicines，根据用户通过网络零售药品平台提出的</w:t>
      </w:r>
      <w:r>
        <w:rPr>
          <w:rFonts w:hint="default" w:ascii="楷体" w:hAnsi="楷体" w:eastAsia="楷体" w:cs="楷体"/>
          <w:color w:val="auto"/>
          <w:sz w:val="32"/>
          <w:szCs w:val="32"/>
          <w:highlight w:val="none"/>
          <w:lang w:val="en-US" w:eastAsia="zh-CN"/>
        </w:rPr>
        <w:t>购药需求，将药品送达</w:t>
      </w:r>
      <w:r>
        <w:rPr>
          <w:rFonts w:hint="eastAsia" w:ascii="楷体" w:hAnsi="楷体" w:eastAsia="楷体" w:cs="楷体"/>
          <w:color w:val="auto"/>
          <w:sz w:val="32"/>
          <w:szCs w:val="32"/>
          <w:highlight w:val="none"/>
          <w:lang w:val="en-US" w:eastAsia="zh-CN"/>
        </w:rPr>
        <w:t>用户</w:t>
      </w:r>
      <w:r>
        <w:rPr>
          <w:rFonts w:hint="default" w:ascii="楷体" w:hAnsi="楷体" w:eastAsia="楷体" w:cs="楷体"/>
          <w:color w:val="auto"/>
          <w:sz w:val="32"/>
          <w:szCs w:val="32"/>
          <w:highlight w:val="none"/>
          <w:lang w:val="en-US" w:eastAsia="zh-CN"/>
        </w:rPr>
        <w:t>指定地点</w:t>
      </w:r>
      <w:r>
        <w:rPr>
          <w:rFonts w:hint="eastAsia" w:ascii="楷体" w:hAnsi="楷体" w:eastAsia="楷体" w:cs="楷体"/>
          <w:color w:val="auto"/>
          <w:sz w:val="32"/>
          <w:szCs w:val="32"/>
          <w:highlight w:val="none"/>
          <w:lang w:val="en-US" w:eastAsia="zh-CN"/>
        </w:rPr>
        <w:t>、</w:t>
      </w:r>
      <w:r>
        <w:rPr>
          <w:rFonts w:hint="default" w:ascii="楷体" w:hAnsi="楷体" w:eastAsia="楷体" w:cs="楷体"/>
          <w:color w:val="auto"/>
          <w:sz w:val="32"/>
          <w:szCs w:val="32"/>
          <w:highlight w:val="none"/>
          <w:lang w:val="en-US" w:eastAsia="zh-CN"/>
        </w:rPr>
        <w:t>并</w:t>
      </w:r>
      <w:r>
        <w:rPr>
          <w:rFonts w:hint="eastAsia" w:ascii="楷体" w:hAnsi="楷体" w:eastAsia="楷体" w:cs="楷体"/>
          <w:color w:val="auto"/>
          <w:sz w:val="32"/>
          <w:szCs w:val="32"/>
          <w:highlight w:val="none"/>
          <w:lang w:val="en-US" w:eastAsia="zh-CN"/>
        </w:rPr>
        <w:t>协助用户</w:t>
      </w:r>
      <w:r>
        <w:rPr>
          <w:rFonts w:hint="default" w:ascii="楷体" w:hAnsi="楷体" w:eastAsia="楷体" w:cs="楷体"/>
          <w:color w:val="auto"/>
          <w:sz w:val="32"/>
          <w:szCs w:val="32"/>
          <w:highlight w:val="none"/>
          <w:lang w:val="en-US" w:eastAsia="zh-CN"/>
        </w:rPr>
        <w:t>签收的物流活动。</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说明：为了方便企业更直观的了解本标准提及的网络零售药品配送的物流过程，特对络零售药品配送做出了定义。</w:t>
      </w:r>
    </w:p>
    <w:p>
      <w:pPr>
        <w:keepNext w:val="0"/>
        <w:keepLines w:val="0"/>
        <w:pageBreakBefore w:val="0"/>
        <w:widowControl w:val="0"/>
        <w:numPr>
          <w:ilvl w:val="0"/>
          <w:numId w:val="5"/>
        </w:numPr>
        <w:kinsoku/>
        <w:wordWrap/>
        <w:overflowPunct/>
        <w:topLinePunct w:val="0"/>
        <w:autoSpaceDE/>
        <w:autoSpaceDN/>
        <w:bidi w:val="0"/>
        <w:adjustRightInd/>
        <w:snapToGrid/>
        <w:ind w:firstLine="640" w:firstLineChars="200"/>
        <w:textAlignment w:val="auto"/>
        <w:rPr>
          <w:rFonts w:hint="default" w:ascii="楷体" w:hAnsi="楷体" w:eastAsia="楷体" w:cs="楷体"/>
          <w:color w:val="auto"/>
          <w:sz w:val="32"/>
          <w:szCs w:val="32"/>
          <w:highlight w:val="none"/>
          <w:lang w:val="en-US" w:eastAsia="zh-CN"/>
        </w:rPr>
      </w:pPr>
      <w:r>
        <w:rPr>
          <w:rFonts w:hint="default" w:ascii="楷体" w:hAnsi="楷体" w:eastAsia="楷体" w:cs="楷体"/>
          <w:color w:val="auto"/>
          <w:sz w:val="32"/>
          <w:szCs w:val="32"/>
          <w:highlight w:val="none"/>
          <w:lang w:val="en-US" w:eastAsia="zh-CN"/>
        </w:rPr>
        <w:t>即时配送</w:t>
      </w:r>
      <w:r>
        <w:rPr>
          <w:rFonts w:hint="eastAsia" w:ascii="楷体" w:hAnsi="楷体" w:eastAsia="楷体" w:cs="楷体"/>
          <w:color w:val="auto"/>
          <w:sz w:val="32"/>
          <w:szCs w:val="32"/>
          <w:highlight w:val="none"/>
          <w:lang w:val="en-US" w:eastAsia="zh-CN"/>
        </w:rPr>
        <w:t>，</w:t>
      </w:r>
      <w:r>
        <w:rPr>
          <w:rFonts w:hint="default" w:ascii="楷体" w:hAnsi="楷体" w:eastAsia="楷体" w:cs="楷体"/>
          <w:color w:val="auto"/>
          <w:sz w:val="32"/>
          <w:szCs w:val="32"/>
          <w:highlight w:val="none"/>
          <w:lang w:val="en-US" w:eastAsia="zh-CN"/>
        </w:rPr>
        <w:t>on-demand delivery</w:t>
      </w:r>
      <w:r>
        <w:rPr>
          <w:rFonts w:hint="eastAsia" w:ascii="楷体" w:hAnsi="楷体" w:eastAsia="楷体" w:cs="楷体"/>
          <w:color w:val="auto"/>
          <w:sz w:val="32"/>
          <w:szCs w:val="32"/>
          <w:highlight w:val="none"/>
          <w:lang w:val="en-US" w:eastAsia="zh-CN"/>
        </w:rPr>
        <w:t>，</w:t>
      </w:r>
      <w:r>
        <w:rPr>
          <w:rFonts w:hint="default" w:ascii="楷体" w:hAnsi="楷体" w:eastAsia="楷体" w:cs="楷体"/>
          <w:color w:val="auto"/>
          <w:sz w:val="32"/>
          <w:szCs w:val="32"/>
          <w:highlight w:val="none"/>
          <w:lang w:val="en-US" w:eastAsia="zh-CN"/>
        </w:rPr>
        <w:t>立即响应用户提出的即刻服务要求并且在2h内送达的配送方式。</w:t>
      </w:r>
    </w:p>
    <w:p>
      <w:pPr>
        <w:keepNext w:val="0"/>
        <w:keepLines w:val="0"/>
        <w:pageBreakBefore w:val="0"/>
        <w:widowControl w:val="0"/>
        <w:numPr>
          <w:ilvl w:val="-1"/>
          <w:numId w:val="0"/>
        </w:numPr>
        <w:kinsoku/>
        <w:wordWrap/>
        <w:overflowPunct/>
        <w:topLinePunct w:val="0"/>
        <w:autoSpaceDE/>
        <w:autoSpaceDN/>
        <w:bidi w:val="0"/>
        <w:adjustRightInd/>
        <w:snapToGrid/>
        <w:ind w:firstLine="640" w:firstLineChars="0"/>
        <w:textAlignment w:val="auto"/>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说明：标准中提及了即时配送与非即时配送的相关要求，为了方面企业理解二者之间的区别，特对即时配送做出定义，该定义参考了GB/T 18354-2021《物流术语》中4.40有关即时配送的定义，并根据网络零售药品配送的要求进行修改。</w:t>
      </w:r>
    </w:p>
    <w:p>
      <w:pPr>
        <w:keepNext w:val="0"/>
        <w:keepLines w:val="0"/>
        <w:pageBreakBefore w:val="0"/>
        <w:widowControl w:val="0"/>
        <w:numPr>
          <w:ilvl w:val="-1"/>
          <w:numId w:val="0"/>
        </w:numPr>
        <w:kinsoku/>
        <w:wordWrap/>
        <w:overflowPunct/>
        <w:topLinePunct w:val="0"/>
        <w:autoSpaceDE/>
        <w:autoSpaceDN/>
        <w:bidi w:val="0"/>
        <w:adjustRightInd/>
        <w:snapToGrid/>
        <w:ind w:firstLine="640" w:firstLineChars="0"/>
        <w:textAlignment w:val="auto"/>
        <w:rPr>
          <w:rFonts w:hint="default"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4、基本要求</w:t>
      </w:r>
    </w:p>
    <w:p>
      <w:pPr>
        <w:widowControl/>
        <w:tabs>
          <w:tab w:val="left" w:pos="540"/>
        </w:tabs>
        <w:spacing w:line="276" w:lineRule="auto"/>
        <w:ind w:firstLine="640" w:firstLineChars="200"/>
        <w:contextualSpacing/>
        <w:jc w:val="both"/>
        <w:rPr>
          <w:rFonts w:hint="eastAsia" w:ascii="楷体" w:hAnsi="楷体" w:eastAsia="楷体" w:cs="楷体"/>
          <w:color w:val="auto"/>
          <w:sz w:val="32"/>
          <w:szCs w:val="32"/>
          <w:highlight w:val="none"/>
          <w:lang w:val="en-US" w:eastAsia="zh-CN"/>
        </w:rPr>
      </w:pPr>
      <w:r>
        <w:rPr>
          <w:rFonts w:hint="eastAsia" w:ascii="楷体" w:hAnsi="楷体" w:eastAsia="楷体" w:cs="楷体"/>
          <w:color w:val="auto"/>
          <w:kern w:val="2"/>
          <w:sz w:val="32"/>
          <w:szCs w:val="32"/>
          <w:highlight w:val="none"/>
          <w:lang w:val="en-US" w:eastAsia="zh-CN"/>
        </w:rPr>
        <w:t>本章节主要规定了</w:t>
      </w:r>
      <w:r>
        <w:rPr>
          <w:rFonts w:hint="eastAsia" w:ascii="楷体" w:hAnsi="楷体" w:eastAsia="楷体" w:cs="楷体"/>
          <w:color w:val="auto"/>
          <w:sz w:val="32"/>
          <w:szCs w:val="32"/>
          <w:highlight w:val="none"/>
          <w:lang w:val="en-US" w:eastAsia="zh-CN"/>
        </w:rPr>
        <w:t>网络零售药品配送中网络零售药品配送服务提供方的基本要求，明确了应具备组织机构、建立药品配送管理制度、具备信息系统、设施设备，以及委托配送的要求。</w:t>
      </w:r>
    </w:p>
    <w:p>
      <w:pPr>
        <w:widowControl/>
        <w:tabs>
          <w:tab w:val="left" w:pos="540"/>
        </w:tabs>
        <w:spacing w:line="276" w:lineRule="auto"/>
        <w:ind w:firstLine="640" w:firstLineChars="200"/>
        <w:contextualSpacing/>
        <w:jc w:val="both"/>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说明：以上几点要求是企业在开展网络零售药品配送业务的基本配置，是对药品配送的保障。</w:t>
      </w:r>
    </w:p>
    <w:p>
      <w:pPr>
        <w:widowControl/>
        <w:tabs>
          <w:tab w:val="left" w:pos="540"/>
        </w:tabs>
        <w:spacing w:line="276" w:lineRule="auto"/>
        <w:ind w:firstLine="640" w:firstLineChars="200"/>
        <w:contextualSpacing/>
        <w:jc w:val="both"/>
        <w:rPr>
          <w:rFonts w:hint="default" w:ascii="楷体" w:hAnsi="楷体" w:eastAsia="楷体" w:cs="楷体"/>
          <w:color w:val="auto"/>
          <w:kern w:val="2"/>
          <w:sz w:val="32"/>
          <w:szCs w:val="32"/>
          <w:highlight w:val="none"/>
          <w:lang w:val="en-US" w:eastAsia="zh-CN"/>
        </w:rPr>
      </w:pPr>
      <w:r>
        <w:rPr>
          <w:rFonts w:hint="eastAsia" w:ascii="楷体" w:hAnsi="楷体" w:eastAsia="楷体" w:cs="楷体"/>
          <w:color w:val="auto"/>
          <w:sz w:val="32"/>
          <w:szCs w:val="32"/>
          <w:highlight w:val="none"/>
          <w:lang w:val="en-US" w:eastAsia="zh-CN"/>
        </w:rPr>
        <w:t>5、人员与培训</w:t>
      </w:r>
    </w:p>
    <w:p>
      <w:pPr>
        <w:widowControl/>
        <w:tabs>
          <w:tab w:val="left" w:pos="540"/>
        </w:tabs>
        <w:spacing w:line="276" w:lineRule="auto"/>
        <w:ind w:firstLine="640" w:firstLineChars="200"/>
        <w:contextualSpacing/>
        <w:jc w:val="both"/>
        <w:rPr>
          <w:rFonts w:hint="eastAsia" w:ascii="楷体" w:hAnsi="楷体" w:eastAsia="楷体" w:cs="楷体"/>
          <w:color w:val="auto"/>
          <w:kern w:val="2"/>
          <w:sz w:val="32"/>
          <w:szCs w:val="32"/>
          <w:highlight w:val="none"/>
          <w:lang w:val="en-US" w:eastAsia="zh-CN"/>
        </w:rPr>
      </w:pPr>
      <w:r>
        <w:rPr>
          <w:rFonts w:hint="eastAsia" w:ascii="楷体" w:hAnsi="楷体" w:eastAsia="楷体" w:cs="楷体"/>
          <w:color w:val="auto"/>
          <w:kern w:val="2"/>
          <w:sz w:val="32"/>
          <w:szCs w:val="32"/>
          <w:highlight w:val="none"/>
          <w:lang w:val="en-US" w:eastAsia="zh-CN"/>
        </w:rPr>
        <w:t>标准的本部分内容主要规定了人员配备要求、健康检查、培训及着装要求。</w:t>
      </w:r>
    </w:p>
    <w:p>
      <w:pPr>
        <w:widowControl/>
        <w:tabs>
          <w:tab w:val="left" w:pos="540"/>
        </w:tabs>
        <w:spacing w:line="276" w:lineRule="auto"/>
        <w:ind w:firstLine="640" w:firstLineChars="200"/>
        <w:contextualSpacing/>
        <w:jc w:val="both"/>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说明：《药品经营质量管理规范 附录6药品零售配送质量管理》中提及了“药品零售企业应当配备专职或兼职人员负责药品配送质量管理”“对员工每年进行健康体检。”“第七条培训相关岗位人员”的要求，在法规的基础上，本标准明确了网络零售药品配送服务提供方相应的配备专职或兼职人员负责的要求；细化了健康的时间要求，并且对体检后发现有传染病等人员要求不能进行药品配送工作；也细化了培训方式、内容的要求；并为了让用户更容易辨认配送员的身份,增加交易的可信度规定配送人员穿着。</w:t>
      </w:r>
    </w:p>
    <w:p>
      <w:pPr>
        <w:widowControl/>
        <w:numPr>
          <w:ilvl w:val="0"/>
          <w:numId w:val="0"/>
        </w:numPr>
        <w:tabs>
          <w:tab w:val="left" w:pos="540"/>
        </w:tabs>
        <w:spacing w:line="276" w:lineRule="auto"/>
        <w:ind w:firstLine="640" w:firstLineChars="200"/>
        <w:contextualSpacing/>
        <w:jc w:val="both"/>
        <w:rPr>
          <w:rFonts w:hint="eastAsia" w:ascii="楷体" w:hAnsi="楷体" w:eastAsia="楷体" w:cs="楷体"/>
          <w:color w:val="auto"/>
          <w:sz w:val="32"/>
          <w:szCs w:val="32"/>
          <w:highlight w:val="none"/>
          <w:lang w:val="en-US" w:eastAsia="zh-CN"/>
        </w:rPr>
      </w:pPr>
      <w:r>
        <w:rPr>
          <w:rFonts w:hint="eastAsia" w:ascii="楷体" w:hAnsi="楷体" w:eastAsia="楷体" w:cs="楷体"/>
          <w:color w:val="auto"/>
          <w:kern w:val="2"/>
          <w:sz w:val="32"/>
          <w:szCs w:val="32"/>
          <w:lang w:val="en-US" w:eastAsia="zh-CN" w:bidi="ar-SA"/>
        </w:rPr>
        <w:t>6、</w:t>
      </w:r>
      <w:r>
        <w:rPr>
          <w:rFonts w:hint="eastAsia" w:ascii="楷体" w:hAnsi="楷体" w:eastAsia="楷体" w:cs="楷体"/>
          <w:color w:val="auto"/>
          <w:sz w:val="32"/>
          <w:szCs w:val="32"/>
          <w:highlight w:val="none"/>
          <w:lang w:val="en-US" w:eastAsia="zh-CN"/>
        </w:rPr>
        <w:t>设施设备</w:t>
      </w:r>
    </w:p>
    <w:p>
      <w:pPr>
        <w:widowControl/>
        <w:numPr>
          <w:ilvl w:val="-1"/>
          <w:numId w:val="0"/>
        </w:numPr>
        <w:tabs>
          <w:tab w:val="left" w:pos="540"/>
        </w:tabs>
        <w:spacing w:line="276" w:lineRule="auto"/>
        <w:ind w:firstLine="640" w:firstLineChars="0"/>
        <w:contextualSpacing/>
        <w:jc w:val="both"/>
        <w:rPr>
          <w:rFonts w:hint="eastAsia" w:ascii="楷体" w:hAnsi="楷体" w:eastAsia="楷体" w:cs="楷体"/>
          <w:color w:val="auto"/>
          <w:kern w:val="2"/>
          <w:sz w:val="32"/>
          <w:szCs w:val="32"/>
          <w:highlight w:val="none"/>
          <w:lang w:val="en-US" w:eastAsia="zh-CN"/>
        </w:rPr>
      </w:pPr>
      <w:r>
        <w:rPr>
          <w:rFonts w:hint="eastAsia" w:ascii="楷体" w:hAnsi="楷体" w:eastAsia="楷体" w:cs="楷体"/>
          <w:color w:val="auto"/>
          <w:kern w:val="2"/>
          <w:sz w:val="32"/>
          <w:szCs w:val="32"/>
          <w:highlight w:val="none"/>
          <w:lang w:val="en-US" w:eastAsia="zh-CN"/>
        </w:rPr>
        <w:t>本标准的这部分主要规定了网络零售药品配送使用的车、箱、对其检查、清洁及维护、及冷链设施设备验证的要求。</w:t>
      </w:r>
    </w:p>
    <w:p>
      <w:pPr>
        <w:widowControl/>
        <w:numPr>
          <w:ilvl w:val="-1"/>
          <w:numId w:val="0"/>
        </w:numPr>
        <w:tabs>
          <w:tab w:val="left" w:pos="540"/>
        </w:tabs>
        <w:spacing w:line="276" w:lineRule="auto"/>
        <w:ind w:firstLine="640" w:firstLineChars="0"/>
        <w:contextualSpacing/>
        <w:jc w:val="both"/>
        <w:rPr>
          <w:rFonts w:hint="default" w:ascii="楷体" w:hAnsi="楷体" w:eastAsia="楷体" w:cs="楷体"/>
          <w:color w:val="auto"/>
          <w:kern w:val="2"/>
          <w:sz w:val="32"/>
          <w:szCs w:val="32"/>
          <w:highlight w:val="none"/>
          <w:lang w:val="en-US" w:eastAsia="zh-CN"/>
        </w:rPr>
      </w:pPr>
      <w:r>
        <w:rPr>
          <w:rFonts w:hint="eastAsia" w:ascii="楷体" w:hAnsi="楷体" w:eastAsia="楷体" w:cs="楷体"/>
          <w:color w:val="auto"/>
          <w:kern w:val="2"/>
          <w:sz w:val="32"/>
          <w:szCs w:val="32"/>
          <w:highlight w:val="none"/>
          <w:lang w:val="en-US" w:eastAsia="zh-CN"/>
        </w:rPr>
        <w:t>说明：《药品经营质量管理规范 附录6药品零售配送质量管理》中对药品零售企业的车辆、箱子及维护要求进行了规定，网络零售药品配送服务提供方为了更好的进行配送，满足药品零售企业的要求，在车辆、箱子及维护要求等方面也提出了规定，并且针对冷链药品配送设施设备的要求引用了WB/T 1097《药品冷链保温箱通用规范》、WB/T 1104《道路运输 医药产品冷藏车功能配置要求》。验证要求引用了GB/T 34399《医药产品冷链物流温控设施设备验证 性能确认技术规范》。</w:t>
      </w:r>
    </w:p>
    <w:p>
      <w:pPr>
        <w:widowControl/>
        <w:tabs>
          <w:tab w:val="left" w:pos="540"/>
        </w:tabs>
        <w:spacing w:line="276" w:lineRule="auto"/>
        <w:ind w:firstLine="640" w:firstLineChars="200"/>
        <w:contextualSpacing/>
        <w:jc w:val="both"/>
        <w:rPr>
          <w:rFonts w:hint="default" w:ascii="楷体" w:hAnsi="楷体" w:eastAsia="楷体" w:cs="楷体"/>
          <w:color w:val="auto"/>
          <w:kern w:val="2"/>
          <w:sz w:val="32"/>
          <w:szCs w:val="32"/>
          <w:highlight w:val="none"/>
          <w:lang w:val="en-US" w:eastAsia="zh-CN"/>
        </w:rPr>
      </w:pPr>
      <w:r>
        <w:rPr>
          <w:rFonts w:hint="eastAsia" w:ascii="楷体" w:hAnsi="楷体" w:eastAsia="楷体" w:cs="楷体"/>
          <w:color w:val="auto"/>
          <w:kern w:val="2"/>
          <w:sz w:val="32"/>
          <w:szCs w:val="32"/>
          <w:highlight w:val="none"/>
          <w:lang w:val="en-US" w:eastAsia="zh-CN"/>
        </w:rPr>
        <w:t>7、服务流程</w:t>
      </w:r>
    </w:p>
    <w:p>
      <w:pPr>
        <w:widowControl/>
        <w:numPr>
          <w:ilvl w:val="0"/>
          <w:numId w:val="0"/>
        </w:numPr>
        <w:tabs>
          <w:tab w:val="left" w:pos="540"/>
        </w:tabs>
        <w:spacing w:line="276" w:lineRule="auto"/>
        <w:ind w:firstLine="640" w:firstLineChars="0"/>
        <w:contextualSpacing/>
        <w:jc w:val="both"/>
        <w:rPr>
          <w:rFonts w:hint="eastAsia" w:ascii="楷体" w:hAnsi="楷体" w:eastAsia="楷体" w:cs="楷体"/>
          <w:color w:val="auto"/>
          <w:kern w:val="2"/>
          <w:sz w:val="32"/>
          <w:szCs w:val="32"/>
          <w:highlight w:val="none"/>
          <w:lang w:val="en-US" w:eastAsia="zh-CN"/>
        </w:rPr>
      </w:pPr>
      <w:r>
        <w:rPr>
          <w:rFonts w:hint="eastAsia" w:ascii="楷体" w:hAnsi="楷体" w:eastAsia="楷体" w:cs="楷体"/>
          <w:color w:val="auto"/>
          <w:kern w:val="2"/>
          <w:sz w:val="32"/>
          <w:szCs w:val="32"/>
          <w:highlight w:val="none"/>
          <w:lang w:val="en-US" w:eastAsia="zh-CN"/>
        </w:rPr>
        <w:t>标准本部分是网络零售药品配送过程中的主要环节，规定了网络零售药品配送服务提供方从接单、配送前准备、配送、再到交付的全过程要求，形成配送的闭环。</w:t>
      </w:r>
    </w:p>
    <w:p>
      <w:pPr>
        <w:widowControl/>
        <w:numPr>
          <w:ilvl w:val="0"/>
          <w:numId w:val="0"/>
        </w:numPr>
        <w:tabs>
          <w:tab w:val="left" w:pos="540"/>
        </w:tabs>
        <w:spacing w:line="276" w:lineRule="auto"/>
        <w:ind w:firstLine="640" w:firstLineChars="0"/>
        <w:contextualSpacing/>
        <w:jc w:val="both"/>
        <w:rPr>
          <w:rFonts w:hint="default" w:ascii="楷体" w:hAnsi="楷体" w:eastAsia="楷体" w:cs="楷体"/>
          <w:color w:val="auto"/>
          <w:kern w:val="2"/>
          <w:sz w:val="32"/>
          <w:szCs w:val="32"/>
          <w:highlight w:val="none"/>
          <w:lang w:val="en-US" w:eastAsia="zh-CN"/>
        </w:rPr>
      </w:pPr>
      <w:r>
        <w:rPr>
          <w:rFonts w:hint="eastAsia" w:ascii="楷体" w:hAnsi="楷体" w:eastAsia="楷体" w:cs="楷体"/>
          <w:color w:val="auto"/>
          <w:kern w:val="2"/>
          <w:sz w:val="32"/>
          <w:szCs w:val="32"/>
          <w:highlight w:val="none"/>
          <w:lang w:val="en-US" w:eastAsia="zh-CN"/>
        </w:rPr>
        <w:t>说明：经过标准前期的启动会、调研等活动的开展，起草单位及调研单位反馈，网络零售药品配送服务提供方的工作从接单开始，到达地点后，药品的包装、封签工作并不是由配送员进行，配送员会根据药品配送要求确定是否再次包装，故标准本章节没有包括包装、复核等工作，配送员明确配送要求后直接进行配送。同时标准在交付过程中，也根据目前配送情况明确了2种交付方式，一种是收货人签收、另一种是自提柜/驿站代存，并指明了2种交付方式应做的工作流程。</w:t>
      </w:r>
    </w:p>
    <w:p>
      <w:pPr>
        <w:widowControl/>
        <w:numPr>
          <w:ilvl w:val="-1"/>
          <w:numId w:val="0"/>
        </w:numPr>
        <w:tabs>
          <w:tab w:val="left" w:pos="540"/>
        </w:tabs>
        <w:spacing w:line="276" w:lineRule="auto"/>
        <w:ind w:firstLine="640" w:firstLineChars="200"/>
        <w:contextualSpacing/>
        <w:jc w:val="both"/>
        <w:rPr>
          <w:rFonts w:hint="eastAsia" w:ascii="楷体" w:hAnsi="楷体" w:eastAsia="楷体" w:cs="楷体"/>
          <w:color w:val="auto"/>
          <w:kern w:val="2"/>
          <w:sz w:val="32"/>
          <w:szCs w:val="32"/>
          <w:highlight w:val="none"/>
          <w:lang w:val="en-US" w:eastAsia="zh-CN"/>
        </w:rPr>
      </w:pPr>
      <w:r>
        <w:rPr>
          <w:rFonts w:hint="eastAsia" w:ascii="楷体" w:hAnsi="楷体" w:eastAsia="楷体" w:cs="楷体"/>
          <w:color w:val="auto"/>
          <w:kern w:val="2"/>
          <w:sz w:val="32"/>
          <w:szCs w:val="32"/>
          <w:highlight w:val="none"/>
          <w:lang w:val="en-US" w:eastAsia="zh-CN"/>
        </w:rPr>
        <w:t>8、信息管理</w:t>
      </w:r>
    </w:p>
    <w:p>
      <w:pPr>
        <w:widowControl/>
        <w:numPr>
          <w:ilvl w:val="-1"/>
          <w:numId w:val="0"/>
        </w:numPr>
        <w:tabs>
          <w:tab w:val="left" w:pos="540"/>
        </w:tabs>
        <w:spacing w:line="276" w:lineRule="auto"/>
        <w:ind w:firstLine="640" w:firstLineChars="0"/>
        <w:contextualSpacing/>
        <w:jc w:val="both"/>
        <w:rPr>
          <w:rFonts w:hint="eastAsia" w:ascii="楷体" w:hAnsi="楷体" w:eastAsia="楷体" w:cs="楷体"/>
          <w:color w:val="auto"/>
          <w:kern w:val="2"/>
          <w:sz w:val="32"/>
          <w:szCs w:val="32"/>
          <w:highlight w:val="none"/>
          <w:lang w:val="en-US" w:eastAsia="zh-CN"/>
        </w:rPr>
      </w:pPr>
      <w:r>
        <w:rPr>
          <w:rFonts w:hint="eastAsia" w:ascii="楷体" w:hAnsi="楷体" w:eastAsia="楷体" w:cs="楷体"/>
          <w:color w:val="auto"/>
          <w:kern w:val="2"/>
          <w:sz w:val="32"/>
          <w:szCs w:val="32"/>
          <w:highlight w:val="none"/>
          <w:lang w:val="en-US" w:eastAsia="zh-CN"/>
        </w:rPr>
        <w:t>标准本部分主要规定了信息系统功能、安全要求、接口要求，并建议企业配备温度检测系统。</w:t>
      </w:r>
    </w:p>
    <w:p>
      <w:pPr>
        <w:widowControl/>
        <w:numPr>
          <w:ilvl w:val="-1"/>
          <w:numId w:val="0"/>
        </w:numPr>
        <w:tabs>
          <w:tab w:val="left" w:pos="540"/>
        </w:tabs>
        <w:spacing w:line="276" w:lineRule="auto"/>
        <w:ind w:firstLine="640" w:firstLineChars="0"/>
        <w:contextualSpacing/>
        <w:jc w:val="both"/>
        <w:rPr>
          <w:rFonts w:hint="eastAsia" w:ascii="楷体" w:hAnsi="楷体" w:eastAsia="楷体" w:cs="楷体"/>
          <w:color w:val="auto"/>
          <w:sz w:val="32"/>
          <w:szCs w:val="32"/>
          <w:highlight w:val="none"/>
          <w:lang w:val="en-US" w:eastAsia="zh-CN"/>
        </w:rPr>
      </w:pPr>
      <w:r>
        <w:rPr>
          <w:rFonts w:hint="eastAsia" w:ascii="楷体" w:hAnsi="楷体" w:eastAsia="楷体" w:cs="楷体"/>
          <w:color w:val="auto"/>
          <w:kern w:val="2"/>
          <w:sz w:val="32"/>
          <w:szCs w:val="32"/>
          <w:highlight w:val="none"/>
          <w:lang w:val="en-US" w:eastAsia="zh-CN"/>
        </w:rPr>
        <w:t>说明：在起草过程企业多次讲述到信息安全的重要性，因此标准引用了</w:t>
      </w:r>
      <w:r>
        <w:rPr>
          <w:rFonts w:hint="eastAsia" w:ascii="楷体" w:hAnsi="楷体" w:eastAsia="楷体" w:cs="楷体"/>
          <w:color w:val="auto"/>
          <w:sz w:val="32"/>
          <w:szCs w:val="32"/>
          <w:highlight w:val="none"/>
          <w:lang w:val="en-US" w:eastAsia="zh-CN"/>
        </w:rPr>
        <w:t>GB/T 20269《信息安全技术 信息系统安全管理要求 》、GB/T 20270《信息安全技术 网络基础安全技术要求 》、GB/T 20271《信息安全技术 信息系统通用安全技术要求》。目前网络零售药品配送服务提供方并没有建立温度监测系统，配送冷链药品时所用系统为委托方系统，因此建议网络零售药品配送服务提供方配备温度监测系统。</w:t>
      </w:r>
    </w:p>
    <w:p>
      <w:pPr>
        <w:widowControl/>
        <w:numPr>
          <w:ilvl w:val="-1"/>
          <w:numId w:val="0"/>
        </w:numPr>
        <w:tabs>
          <w:tab w:val="left" w:pos="540"/>
        </w:tabs>
        <w:spacing w:line="276" w:lineRule="auto"/>
        <w:ind w:firstLine="640" w:firstLineChars="0"/>
        <w:contextualSpacing/>
        <w:jc w:val="both"/>
        <w:rPr>
          <w:rFonts w:hint="default" w:ascii="楷体" w:hAnsi="楷体" w:eastAsia="楷体" w:cs="楷体"/>
          <w:color w:val="auto"/>
          <w:kern w:val="2"/>
          <w:sz w:val="32"/>
          <w:szCs w:val="32"/>
          <w:highlight w:val="none"/>
          <w:lang w:val="en-US" w:eastAsia="zh-CN"/>
        </w:rPr>
      </w:pPr>
      <w:r>
        <w:rPr>
          <w:rFonts w:hint="eastAsia" w:ascii="楷体" w:hAnsi="楷体" w:eastAsia="楷体" w:cs="楷体"/>
          <w:color w:val="auto"/>
          <w:sz w:val="32"/>
          <w:szCs w:val="32"/>
          <w:highlight w:val="none"/>
          <w:lang w:val="en-US" w:eastAsia="zh-CN"/>
        </w:rPr>
        <w:t>9、档案管理</w:t>
      </w:r>
    </w:p>
    <w:p>
      <w:pPr>
        <w:widowControl/>
        <w:numPr>
          <w:ilvl w:val="0"/>
          <w:numId w:val="0"/>
        </w:numPr>
        <w:tabs>
          <w:tab w:val="left" w:pos="540"/>
        </w:tabs>
        <w:spacing w:line="276" w:lineRule="auto"/>
        <w:ind w:firstLine="640" w:firstLineChars="0"/>
        <w:contextualSpacing/>
        <w:jc w:val="both"/>
        <w:rPr>
          <w:rFonts w:hint="eastAsia" w:ascii="楷体" w:hAnsi="楷体" w:eastAsia="楷体" w:cs="楷体"/>
          <w:color w:val="auto"/>
          <w:kern w:val="2"/>
          <w:sz w:val="32"/>
          <w:szCs w:val="32"/>
          <w:highlight w:val="none"/>
          <w:lang w:val="en-US" w:eastAsia="zh-CN"/>
        </w:rPr>
      </w:pPr>
      <w:r>
        <w:rPr>
          <w:rFonts w:hint="eastAsia" w:ascii="楷体" w:hAnsi="楷体" w:eastAsia="楷体" w:cs="楷体"/>
          <w:color w:val="auto"/>
          <w:kern w:val="2"/>
          <w:sz w:val="32"/>
          <w:szCs w:val="32"/>
          <w:highlight w:val="none"/>
          <w:lang w:val="en-US" w:eastAsia="zh-CN"/>
        </w:rPr>
        <w:t>标准本部分主要规定了档案建立、保存等要求。</w:t>
      </w:r>
    </w:p>
    <w:p>
      <w:pPr>
        <w:widowControl/>
        <w:numPr>
          <w:ilvl w:val="0"/>
          <w:numId w:val="0"/>
        </w:numPr>
        <w:tabs>
          <w:tab w:val="left" w:pos="540"/>
        </w:tabs>
        <w:spacing w:line="276" w:lineRule="auto"/>
        <w:ind w:firstLine="640" w:firstLineChars="0"/>
        <w:contextualSpacing/>
        <w:jc w:val="both"/>
        <w:rPr>
          <w:rFonts w:hint="eastAsia" w:ascii="楷体" w:hAnsi="楷体" w:eastAsia="楷体" w:cs="楷体"/>
          <w:color w:val="auto"/>
          <w:sz w:val="32"/>
          <w:szCs w:val="32"/>
          <w:highlight w:val="none"/>
          <w:lang w:val="en-US" w:eastAsia="zh-CN"/>
        </w:rPr>
      </w:pPr>
      <w:r>
        <w:rPr>
          <w:rFonts w:hint="eastAsia" w:ascii="楷体" w:hAnsi="楷体" w:eastAsia="楷体" w:cs="楷体"/>
          <w:color w:val="auto"/>
          <w:kern w:val="2"/>
          <w:sz w:val="32"/>
          <w:szCs w:val="32"/>
          <w:highlight w:val="none"/>
          <w:lang w:val="en-US" w:eastAsia="zh-CN"/>
        </w:rPr>
        <w:t>说明：本标准规定的药品配送活动主要是通过互联网进行，所以配送环节的操作都是在网上，相关信息也都是电子形式，因此规定网络零售药品配送服务提供方要进行电子档案的管理，相关重要信息要进行保密处理。并参考</w:t>
      </w:r>
      <w:r>
        <w:rPr>
          <w:rFonts w:hint="eastAsia" w:ascii="楷体" w:hAnsi="楷体" w:eastAsia="楷体" w:cs="楷体"/>
          <w:color w:val="auto"/>
          <w:sz w:val="32"/>
          <w:szCs w:val="32"/>
          <w:highlight w:val="none"/>
          <w:lang w:val="en-US" w:eastAsia="zh-CN"/>
        </w:rPr>
        <w:t>《药品经营质量管理规范》对文档保存5年要求，本标准也要求保存时限为至少5年。</w:t>
      </w:r>
    </w:p>
    <w:p>
      <w:pPr>
        <w:widowControl/>
        <w:numPr>
          <w:ilvl w:val="0"/>
          <w:numId w:val="0"/>
        </w:numPr>
        <w:tabs>
          <w:tab w:val="left" w:pos="540"/>
        </w:tabs>
        <w:spacing w:line="276" w:lineRule="auto"/>
        <w:ind w:firstLine="640" w:firstLineChars="0"/>
        <w:contextualSpacing/>
        <w:jc w:val="both"/>
        <w:rPr>
          <w:rFonts w:hint="default" w:ascii="楷体" w:hAnsi="楷体" w:eastAsia="楷体" w:cs="楷体"/>
          <w:color w:val="auto"/>
          <w:kern w:val="2"/>
          <w:sz w:val="32"/>
          <w:szCs w:val="32"/>
          <w:highlight w:val="none"/>
          <w:lang w:val="en-US" w:eastAsia="zh-CN"/>
        </w:rPr>
      </w:pPr>
      <w:r>
        <w:rPr>
          <w:rFonts w:hint="eastAsia" w:ascii="楷体" w:hAnsi="楷体" w:eastAsia="楷体" w:cs="楷体"/>
          <w:color w:val="auto"/>
          <w:sz w:val="32"/>
          <w:szCs w:val="32"/>
          <w:highlight w:val="none"/>
          <w:lang w:val="en-US" w:eastAsia="zh-CN"/>
        </w:rPr>
        <w:t>10、应急处置</w:t>
      </w:r>
    </w:p>
    <w:p>
      <w:pPr>
        <w:widowControl/>
        <w:numPr>
          <w:ilvl w:val="0"/>
          <w:numId w:val="0"/>
        </w:numPr>
        <w:tabs>
          <w:tab w:val="left" w:pos="540"/>
        </w:tabs>
        <w:spacing w:line="276" w:lineRule="auto"/>
        <w:ind w:firstLine="640" w:firstLineChars="0"/>
        <w:contextualSpacing/>
        <w:jc w:val="both"/>
        <w:rPr>
          <w:rFonts w:hint="eastAsia" w:ascii="楷体" w:hAnsi="楷体" w:eastAsia="楷体" w:cs="楷体"/>
          <w:color w:val="auto"/>
          <w:kern w:val="2"/>
          <w:sz w:val="32"/>
          <w:szCs w:val="32"/>
          <w:highlight w:val="none"/>
          <w:lang w:val="en-US" w:eastAsia="zh-CN"/>
        </w:rPr>
      </w:pPr>
      <w:r>
        <w:rPr>
          <w:rFonts w:hint="eastAsia" w:ascii="楷体" w:hAnsi="楷体" w:eastAsia="楷体" w:cs="楷体"/>
          <w:color w:val="auto"/>
          <w:kern w:val="2"/>
          <w:sz w:val="32"/>
          <w:szCs w:val="32"/>
          <w:highlight w:val="none"/>
          <w:lang w:val="en-US" w:eastAsia="zh-CN"/>
        </w:rPr>
        <w:t>标准本部分主要规定了建立应急处置预案、应急预案演练，在发生突发公共卫生事件时，应配合政府相关部门及药品发货方进行药品的配送等工作。</w:t>
      </w:r>
    </w:p>
    <w:p>
      <w:pPr>
        <w:widowControl/>
        <w:numPr>
          <w:ilvl w:val="0"/>
          <w:numId w:val="0"/>
        </w:numPr>
        <w:tabs>
          <w:tab w:val="left" w:pos="540"/>
        </w:tabs>
        <w:spacing w:line="276" w:lineRule="auto"/>
        <w:ind w:firstLine="640" w:firstLineChars="0"/>
        <w:contextualSpacing/>
        <w:jc w:val="both"/>
        <w:rPr>
          <w:rFonts w:hint="eastAsia" w:ascii="楷体" w:hAnsi="楷体" w:eastAsia="楷体" w:cs="楷体"/>
          <w:color w:val="auto"/>
          <w:kern w:val="2"/>
          <w:sz w:val="32"/>
          <w:szCs w:val="32"/>
          <w:highlight w:val="none"/>
          <w:lang w:val="en-US" w:eastAsia="zh-CN"/>
        </w:rPr>
      </w:pPr>
      <w:r>
        <w:rPr>
          <w:rFonts w:hint="eastAsia" w:ascii="楷体" w:hAnsi="楷体" w:eastAsia="楷体" w:cs="楷体"/>
          <w:color w:val="auto"/>
          <w:kern w:val="2"/>
          <w:sz w:val="32"/>
          <w:szCs w:val="32"/>
          <w:highlight w:val="none"/>
          <w:lang w:val="en-US" w:eastAsia="zh-CN"/>
        </w:rPr>
        <w:t>说明：网络零售药品在配送过程中有可能会出现配送错误、丢失、损坏等情况，因此要求网络零售药品配送服务提供方具备应急预案，一次应对突发情况。并且在突发公共卫生事件时，配合政府工作进行药品配送。</w:t>
      </w:r>
    </w:p>
    <w:p>
      <w:pPr>
        <w:widowControl/>
        <w:numPr>
          <w:ilvl w:val="0"/>
          <w:numId w:val="0"/>
        </w:numPr>
        <w:tabs>
          <w:tab w:val="left" w:pos="540"/>
        </w:tabs>
        <w:spacing w:line="276" w:lineRule="auto"/>
        <w:ind w:firstLine="640" w:firstLineChars="0"/>
        <w:contextualSpacing/>
        <w:jc w:val="both"/>
        <w:rPr>
          <w:rFonts w:hint="default" w:ascii="楷体" w:hAnsi="楷体" w:eastAsia="楷体" w:cs="楷体"/>
          <w:color w:val="auto"/>
          <w:kern w:val="2"/>
          <w:sz w:val="32"/>
          <w:szCs w:val="32"/>
          <w:highlight w:val="none"/>
          <w:lang w:val="en-US" w:eastAsia="zh-CN"/>
        </w:rPr>
      </w:pPr>
      <w:r>
        <w:rPr>
          <w:rFonts w:hint="eastAsia" w:ascii="楷体" w:hAnsi="楷体" w:eastAsia="楷体" w:cs="楷体"/>
          <w:color w:val="auto"/>
          <w:kern w:val="2"/>
          <w:sz w:val="32"/>
          <w:szCs w:val="32"/>
          <w:highlight w:val="none"/>
          <w:lang w:val="en-US" w:eastAsia="zh-CN"/>
        </w:rPr>
        <w:t>11、服务评级与改进</w:t>
      </w:r>
    </w:p>
    <w:p>
      <w:pPr>
        <w:widowControl/>
        <w:numPr>
          <w:ilvl w:val="0"/>
          <w:numId w:val="0"/>
        </w:numPr>
        <w:tabs>
          <w:tab w:val="left" w:pos="540"/>
        </w:tabs>
        <w:spacing w:line="276" w:lineRule="auto"/>
        <w:ind w:firstLine="640" w:firstLineChars="0"/>
        <w:contextualSpacing/>
        <w:jc w:val="both"/>
        <w:rPr>
          <w:rFonts w:hint="eastAsia" w:ascii="楷体" w:hAnsi="楷体" w:eastAsia="楷体" w:cs="楷体"/>
          <w:color w:val="auto"/>
          <w:kern w:val="2"/>
          <w:sz w:val="32"/>
          <w:szCs w:val="32"/>
          <w:highlight w:val="none"/>
          <w:lang w:val="en-US" w:eastAsia="zh-CN"/>
        </w:rPr>
      </w:pPr>
      <w:r>
        <w:rPr>
          <w:rFonts w:hint="eastAsia" w:ascii="楷体" w:hAnsi="楷体" w:eastAsia="楷体" w:cs="楷体"/>
          <w:color w:val="auto"/>
          <w:kern w:val="2"/>
          <w:sz w:val="32"/>
          <w:szCs w:val="32"/>
          <w:highlight w:val="none"/>
          <w:lang w:val="en-US" w:eastAsia="zh-CN"/>
        </w:rPr>
        <w:t>标准的本部分规定了网络零售药品配送服务的服务评价与持续改进要求，包括制定评价体系、开展自评价、回访委托方、对不满的事项进行分析、反馈和改进。</w:t>
      </w:r>
    </w:p>
    <w:p>
      <w:pPr>
        <w:widowControl/>
        <w:numPr>
          <w:ilvl w:val="0"/>
          <w:numId w:val="0"/>
        </w:numPr>
        <w:tabs>
          <w:tab w:val="left" w:pos="540"/>
        </w:tabs>
        <w:spacing w:line="276" w:lineRule="auto"/>
        <w:ind w:firstLine="640" w:firstLineChars="0"/>
        <w:contextualSpacing/>
        <w:jc w:val="both"/>
        <w:rPr>
          <w:rFonts w:hint="eastAsia" w:ascii="楷体" w:hAnsi="楷体" w:eastAsia="楷体" w:cs="楷体"/>
          <w:color w:val="auto"/>
          <w:kern w:val="2"/>
          <w:sz w:val="32"/>
          <w:szCs w:val="32"/>
          <w:highlight w:val="none"/>
          <w:lang w:val="en-US" w:eastAsia="zh-CN"/>
        </w:rPr>
      </w:pPr>
      <w:r>
        <w:rPr>
          <w:rFonts w:hint="eastAsia" w:ascii="楷体" w:hAnsi="楷体" w:eastAsia="楷体" w:cs="楷体"/>
          <w:color w:val="auto"/>
          <w:kern w:val="2"/>
          <w:sz w:val="32"/>
          <w:szCs w:val="32"/>
          <w:highlight w:val="none"/>
          <w:lang w:val="en-US" w:eastAsia="zh-CN"/>
        </w:rPr>
        <w:t>说明：在调研过程中，网络零售企业及药店反馈，他们会从服务满意度、配送时效的评价对服务提供方进行评级，并且标准还</w:t>
      </w:r>
      <w:r>
        <w:rPr>
          <w:rFonts w:hint="eastAsia" w:ascii="楷体" w:hAnsi="楷体" w:eastAsia="楷体" w:cs="楷体"/>
          <w:color w:val="auto"/>
          <w:sz w:val="32"/>
          <w:szCs w:val="32"/>
          <w:highlight w:val="none"/>
          <w:lang w:val="en-US" w:eastAsia="zh-CN"/>
        </w:rPr>
        <w:t>参考了《药品物流服务规范》国家标准中“评价方式要求”及“改进要求”等内容，对此部分进行描写。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三、标准验证情况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在标准制定期间，通过线上收集资料、研讨会、线下走访企业等方式，对标准内容在起草单位内部的12家企业，包括有网络零售业务的药店、网络零售药品配送服务企业、车子和箱子的生产厂家、第三方验证服务企业进行了调研验证。针对标准人员与培训、设施设备、服务流程、信息系统、档案管理、应急处置及服务评价等要求均进行了询问，根据结果反馈，标准内容符合企业在网络零售药品配送服务的实际业务操作，验证情况见表4。</w:t>
      </w:r>
    </w:p>
    <w:p>
      <w:pPr>
        <w:widowControl/>
        <w:tabs>
          <w:tab w:val="left" w:pos="540"/>
        </w:tabs>
        <w:spacing w:line="276" w:lineRule="auto"/>
        <w:ind w:firstLine="359" w:firstLineChars="171"/>
        <w:contextualSpacing/>
        <w:jc w:val="center"/>
        <w:rPr>
          <w:rFonts w:hint="default" w:ascii="黑体" w:hAnsi="黑体" w:eastAsia="黑体" w:cs="黑体"/>
          <w:color w:val="auto"/>
          <w:kern w:val="0"/>
          <w:szCs w:val="21"/>
          <w:highlight w:val="none"/>
          <w:lang w:val="en-US" w:eastAsia="zh-CN"/>
        </w:rPr>
      </w:pPr>
      <w:r>
        <w:rPr>
          <w:rFonts w:hint="eastAsia" w:ascii="黑体" w:hAnsi="黑体" w:eastAsia="黑体" w:cs="黑体"/>
          <w:color w:val="auto"/>
          <w:kern w:val="0"/>
          <w:szCs w:val="21"/>
          <w:highlight w:val="none"/>
          <w:lang w:val="en-US" w:eastAsia="zh-CN"/>
        </w:rPr>
        <w:t>表4 标准验证情况</w:t>
      </w:r>
    </w:p>
    <w:tbl>
      <w:tblPr>
        <w:tblStyle w:val="10"/>
        <w:tblW w:w="102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Layout w:type="autofit"/>
        <w:tblCellMar>
          <w:top w:w="0" w:type="dxa"/>
          <w:left w:w="108" w:type="dxa"/>
          <w:bottom w:w="0" w:type="dxa"/>
          <w:right w:w="108" w:type="dxa"/>
        </w:tblCellMar>
      </w:tblPr>
      <w:tblGrid>
        <w:gridCol w:w="397"/>
        <w:gridCol w:w="680"/>
        <w:gridCol w:w="3515"/>
        <w:gridCol w:w="973"/>
        <w:gridCol w:w="4139"/>
        <w:gridCol w:w="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146" w:hRule="atLeast"/>
          <w:jc w:val="center"/>
        </w:trPr>
        <w:tc>
          <w:tcPr>
            <w:tcW w:w="397" w:type="dxa"/>
            <w:shd w:val="clear" w:color="000000"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楷体" w:hAnsi="楷体" w:eastAsia="楷体" w:cs="楷体"/>
                <w:color w:val="auto"/>
                <w:sz w:val="18"/>
                <w:szCs w:val="18"/>
                <w:highlight w:val="none"/>
              </w:rPr>
            </w:pPr>
            <w:r>
              <w:rPr>
                <w:rFonts w:hint="eastAsia" w:ascii="楷体" w:hAnsi="楷体" w:eastAsia="楷体" w:cs="楷体"/>
                <w:color w:val="auto"/>
                <w:sz w:val="18"/>
                <w:szCs w:val="18"/>
                <w:highlight w:val="none"/>
              </w:rPr>
              <w:t>序号</w:t>
            </w:r>
          </w:p>
        </w:tc>
        <w:tc>
          <w:tcPr>
            <w:tcW w:w="680" w:type="dxa"/>
            <w:shd w:val="clear" w:color="000000" w:fill="auto"/>
            <w:vAlign w:val="center"/>
          </w:tcPr>
          <w:p>
            <w:pPr>
              <w:jc w:val="center"/>
              <w:rPr>
                <w:rFonts w:hint="default" w:ascii="楷体" w:hAnsi="楷体" w:eastAsia="楷体" w:cs="楷体"/>
                <w:color w:val="auto"/>
                <w:sz w:val="18"/>
                <w:szCs w:val="18"/>
                <w:highlight w:val="none"/>
                <w:lang w:val="en-US" w:eastAsia="zh-CN"/>
              </w:rPr>
            </w:pPr>
            <w:r>
              <w:rPr>
                <w:rFonts w:hint="eastAsia" w:ascii="楷体" w:hAnsi="楷体" w:eastAsia="楷体" w:cs="楷体"/>
                <w:color w:val="auto"/>
                <w:sz w:val="18"/>
                <w:szCs w:val="18"/>
                <w:highlight w:val="none"/>
                <w:lang w:val="en-US" w:eastAsia="zh-CN"/>
              </w:rPr>
              <w:t>企业类型</w:t>
            </w:r>
          </w:p>
        </w:tc>
        <w:tc>
          <w:tcPr>
            <w:tcW w:w="3515" w:type="dxa"/>
            <w:shd w:val="clear" w:color="000000" w:fill="auto"/>
            <w:vAlign w:val="center"/>
          </w:tcPr>
          <w:p>
            <w:pPr>
              <w:jc w:val="center"/>
              <w:rPr>
                <w:rFonts w:hint="eastAsia" w:ascii="楷体" w:hAnsi="楷体" w:eastAsia="楷体" w:cs="楷体"/>
                <w:color w:val="auto"/>
                <w:sz w:val="18"/>
                <w:szCs w:val="18"/>
                <w:highlight w:val="none"/>
              </w:rPr>
            </w:pPr>
            <w:r>
              <w:rPr>
                <w:rFonts w:hint="eastAsia" w:ascii="楷体" w:hAnsi="楷体" w:eastAsia="楷体" w:cs="楷体"/>
                <w:color w:val="auto"/>
                <w:sz w:val="18"/>
                <w:szCs w:val="18"/>
                <w:highlight w:val="none"/>
                <w:lang w:val="en-US" w:eastAsia="zh-CN"/>
              </w:rPr>
              <w:t>调研</w:t>
            </w:r>
            <w:r>
              <w:rPr>
                <w:rFonts w:hint="eastAsia" w:ascii="楷体" w:hAnsi="楷体" w:eastAsia="楷体" w:cs="楷体"/>
                <w:color w:val="auto"/>
                <w:sz w:val="18"/>
                <w:szCs w:val="18"/>
                <w:highlight w:val="none"/>
              </w:rPr>
              <w:t>单位</w:t>
            </w:r>
          </w:p>
        </w:tc>
        <w:tc>
          <w:tcPr>
            <w:tcW w:w="973" w:type="dxa"/>
            <w:shd w:val="clear" w:color="000000" w:fill="auto"/>
            <w:vAlign w:val="center"/>
          </w:tcPr>
          <w:p>
            <w:pPr>
              <w:jc w:val="center"/>
              <w:rPr>
                <w:rFonts w:hint="eastAsia" w:ascii="楷体" w:hAnsi="楷体" w:eastAsia="楷体" w:cs="楷体"/>
                <w:color w:val="auto"/>
                <w:sz w:val="18"/>
                <w:szCs w:val="18"/>
                <w:highlight w:val="none"/>
                <w:lang w:val="en-US"/>
              </w:rPr>
            </w:pPr>
            <w:r>
              <w:rPr>
                <w:rFonts w:hint="eastAsia" w:ascii="楷体" w:hAnsi="楷体" w:eastAsia="楷体" w:cs="楷体"/>
                <w:color w:val="auto"/>
                <w:sz w:val="18"/>
                <w:szCs w:val="18"/>
                <w:highlight w:val="none"/>
                <w:lang w:val="en-US" w:eastAsia="zh-CN"/>
              </w:rPr>
              <w:t>调研方式</w:t>
            </w:r>
          </w:p>
        </w:tc>
        <w:tc>
          <w:tcPr>
            <w:tcW w:w="4139" w:type="dxa"/>
            <w:shd w:val="clear" w:color="000000" w:fill="auto"/>
            <w:vAlign w:val="center"/>
          </w:tcPr>
          <w:p>
            <w:pPr>
              <w:jc w:val="center"/>
              <w:rPr>
                <w:rFonts w:hint="eastAsia" w:ascii="楷体" w:hAnsi="楷体" w:eastAsia="楷体" w:cs="楷体"/>
                <w:color w:val="auto"/>
                <w:sz w:val="18"/>
                <w:szCs w:val="18"/>
                <w:highlight w:val="none"/>
                <w:lang w:val="en-US" w:eastAsia="zh-CN"/>
              </w:rPr>
            </w:pPr>
            <w:r>
              <w:rPr>
                <w:rFonts w:hint="eastAsia" w:ascii="楷体" w:hAnsi="楷体" w:eastAsia="楷体" w:cs="楷体"/>
                <w:color w:val="auto"/>
                <w:sz w:val="18"/>
                <w:szCs w:val="18"/>
                <w:highlight w:val="none"/>
                <w:lang w:val="en-US" w:eastAsia="zh-CN"/>
              </w:rPr>
              <w:t>验证内容</w:t>
            </w:r>
          </w:p>
        </w:tc>
        <w:tc>
          <w:tcPr>
            <w:tcW w:w="595" w:type="dxa"/>
            <w:shd w:val="clear" w:color="000000" w:fill="auto"/>
            <w:vAlign w:val="center"/>
          </w:tcPr>
          <w:p>
            <w:pPr>
              <w:jc w:val="center"/>
              <w:rPr>
                <w:rFonts w:hint="eastAsia" w:ascii="楷体" w:hAnsi="楷体" w:eastAsia="楷体" w:cs="楷体"/>
                <w:color w:val="auto"/>
                <w:sz w:val="18"/>
                <w:szCs w:val="18"/>
                <w:highlight w:val="none"/>
                <w:lang w:val="en-US" w:eastAsia="zh-CN"/>
              </w:rPr>
            </w:pPr>
            <w:r>
              <w:rPr>
                <w:rFonts w:hint="eastAsia" w:ascii="楷体" w:hAnsi="楷体" w:eastAsia="楷体" w:cs="楷体"/>
                <w:color w:val="auto"/>
                <w:sz w:val="18"/>
                <w:szCs w:val="18"/>
                <w:highlight w:val="none"/>
                <w:lang w:val="en-US" w:eastAsia="zh-CN"/>
              </w:rPr>
              <w:t>符合</w:t>
            </w:r>
          </w:p>
          <w:p>
            <w:pPr>
              <w:jc w:val="center"/>
              <w:rPr>
                <w:rFonts w:hint="eastAsia" w:ascii="楷体" w:hAnsi="楷体" w:eastAsia="楷体" w:cs="楷体"/>
                <w:color w:val="auto"/>
                <w:sz w:val="18"/>
                <w:szCs w:val="18"/>
                <w:highlight w:val="none"/>
                <w:lang w:val="en-US" w:eastAsia="zh-CN"/>
              </w:rPr>
            </w:pPr>
            <w:r>
              <w:rPr>
                <w:rFonts w:hint="eastAsia" w:ascii="楷体" w:hAnsi="楷体" w:eastAsia="楷体" w:cs="楷体"/>
                <w:color w:val="auto"/>
                <w:sz w:val="18"/>
                <w:szCs w:val="18"/>
                <w:highlight w:val="none"/>
                <w:lang w:val="en-US" w:eastAsia="zh-CN"/>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397" w:type="dxa"/>
            <w:shd w:val="clear" w:color="000000" w:fill="auto"/>
            <w:vAlign w:val="center"/>
          </w:tcPr>
          <w:p>
            <w:pPr>
              <w:keepNext w:val="0"/>
              <w:keepLines w:val="0"/>
              <w:pageBreakBefore w:val="0"/>
              <w:widowControl w:val="0"/>
              <w:numPr>
                <w:ilvl w:val="0"/>
                <w:numId w:val="6"/>
              </w:numPr>
              <w:kinsoku/>
              <w:wordWrap/>
              <w:overflowPunct/>
              <w:topLinePunct w:val="0"/>
              <w:autoSpaceDE/>
              <w:autoSpaceDN/>
              <w:bidi w:val="0"/>
              <w:adjustRightInd/>
              <w:snapToGrid/>
              <w:ind w:left="425" w:hanging="425" w:firstLineChars="0"/>
              <w:jc w:val="left"/>
              <w:textAlignment w:val="auto"/>
              <w:rPr>
                <w:rFonts w:hint="eastAsia" w:ascii="楷体" w:hAnsi="楷体" w:eastAsia="楷体" w:cs="楷体"/>
                <w:color w:val="auto"/>
                <w:sz w:val="18"/>
                <w:szCs w:val="18"/>
                <w:highlight w:val="none"/>
              </w:rPr>
            </w:pPr>
          </w:p>
        </w:tc>
        <w:tc>
          <w:tcPr>
            <w:tcW w:w="680" w:type="dxa"/>
            <w:shd w:val="clear" w:color="000000" w:fill="auto"/>
            <w:vAlign w:val="center"/>
          </w:tcPr>
          <w:p>
            <w:pPr>
              <w:widowControl/>
              <w:jc w:val="center"/>
              <w:textAlignment w:val="center"/>
              <w:rPr>
                <w:rFonts w:hint="default" w:ascii="楷体" w:hAnsi="楷体" w:eastAsia="楷体" w:cs="楷体"/>
                <w:color w:val="auto"/>
                <w:kern w:val="0"/>
                <w:szCs w:val="21"/>
                <w:highlight w:val="none"/>
                <w:lang w:val="en-US" w:eastAsia="zh-CN"/>
              </w:rPr>
            </w:pPr>
            <w:r>
              <w:rPr>
                <w:rFonts w:hint="eastAsia" w:ascii="楷体" w:hAnsi="楷体" w:eastAsia="楷体" w:cs="楷体"/>
                <w:color w:val="auto"/>
                <w:kern w:val="0"/>
                <w:szCs w:val="21"/>
                <w:highlight w:val="none"/>
                <w:lang w:val="en-US" w:eastAsia="zh-CN"/>
              </w:rPr>
              <w:t>配送</w:t>
            </w:r>
          </w:p>
        </w:tc>
        <w:tc>
          <w:tcPr>
            <w:tcW w:w="3515" w:type="dxa"/>
            <w:shd w:val="clear" w:color="000000" w:fill="auto"/>
            <w:vAlign w:val="center"/>
          </w:tcPr>
          <w:p>
            <w:pPr>
              <w:widowControl/>
              <w:jc w:val="both"/>
              <w:textAlignment w:val="center"/>
              <w:rPr>
                <w:rFonts w:hint="eastAsia" w:ascii="楷体" w:hAnsi="楷体" w:eastAsia="楷体" w:cs="楷体"/>
                <w:color w:val="auto"/>
                <w:sz w:val="18"/>
                <w:szCs w:val="18"/>
                <w:highlight w:val="none"/>
                <w:lang w:val="en-US" w:eastAsia="zh-CN"/>
              </w:rPr>
            </w:pPr>
            <w:r>
              <w:rPr>
                <w:rFonts w:hint="eastAsia" w:ascii="楷体" w:hAnsi="楷体" w:eastAsia="楷体" w:cs="楷体"/>
                <w:color w:val="auto"/>
                <w:kern w:val="0"/>
                <w:szCs w:val="21"/>
                <w:highlight w:val="none"/>
                <w:lang w:val="en-US" w:eastAsia="zh-CN"/>
              </w:rPr>
              <w:t>拉扎斯网络科技（上海）有限公司</w:t>
            </w:r>
          </w:p>
        </w:tc>
        <w:tc>
          <w:tcPr>
            <w:tcW w:w="973" w:type="dxa"/>
            <w:shd w:val="clear" w:color="000000" w:fill="auto"/>
            <w:vAlign w:val="center"/>
          </w:tcPr>
          <w:p>
            <w:pPr>
              <w:jc w:val="center"/>
              <w:rPr>
                <w:rFonts w:hint="eastAsia" w:ascii="楷体" w:hAnsi="楷体" w:eastAsia="楷体" w:cs="楷体"/>
                <w:color w:val="auto"/>
                <w:sz w:val="18"/>
                <w:szCs w:val="18"/>
                <w:highlight w:val="none"/>
                <w:lang w:val="en-US" w:eastAsia="zh-CN"/>
              </w:rPr>
            </w:pPr>
            <w:r>
              <w:rPr>
                <w:rFonts w:hint="eastAsia" w:ascii="楷体" w:hAnsi="楷体" w:eastAsia="楷体" w:cs="楷体"/>
                <w:color w:val="auto"/>
                <w:sz w:val="18"/>
                <w:szCs w:val="18"/>
                <w:highlight w:val="none"/>
                <w:lang w:val="en-US" w:eastAsia="zh-CN"/>
              </w:rPr>
              <w:t>实地调研</w:t>
            </w:r>
          </w:p>
        </w:tc>
        <w:tc>
          <w:tcPr>
            <w:tcW w:w="4139" w:type="dxa"/>
            <w:shd w:val="clear" w:color="000000" w:fill="auto"/>
            <w:vAlign w:val="center"/>
          </w:tcPr>
          <w:p>
            <w:pPr>
              <w:widowControl/>
              <w:textAlignment w:val="center"/>
              <w:rPr>
                <w:rFonts w:hint="eastAsia" w:ascii="楷体" w:hAnsi="楷体" w:eastAsia="楷体" w:cs="楷体"/>
                <w:color w:val="auto"/>
                <w:kern w:val="0"/>
                <w:szCs w:val="21"/>
                <w:highlight w:val="none"/>
                <w:lang w:val="en-US" w:eastAsia="zh-CN"/>
              </w:rPr>
            </w:pPr>
            <w:r>
              <w:rPr>
                <w:rFonts w:hint="eastAsia" w:ascii="楷体" w:hAnsi="楷体" w:eastAsia="楷体" w:cs="楷体"/>
                <w:color w:val="auto"/>
                <w:kern w:val="0"/>
                <w:szCs w:val="21"/>
                <w:highlight w:val="none"/>
                <w:lang w:val="en-US" w:eastAsia="zh-CN"/>
              </w:rPr>
              <w:t>人员与培训、设施设备、服务流程、信息系统、档案管理、应急处置及服务评价</w:t>
            </w:r>
          </w:p>
        </w:tc>
        <w:tc>
          <w:tcPr>
            <w:tcW w:w="595" w:type="dxa"/>
            <w:shd w:val="clear" w:color="000000" w:fill="auto"/>
            <w:vAlign w:val="center"/>
          </w:tcPr>
          <w:p>
            <w:pPr>
              <w:jc w:val="center"/>
              <w:rPr>
                <w:rFonts w:hint="eastAsia" w:ascii="楷体" w:hAnsi="楷体" w:eastAsia="楷体" w:cs="楷体"/>
                <w:color w:val="auto"/>
                <w:sz w:val="18"/>
                <w:szCs w:val="18"/>
                <w:highlight w:val="none"/>
                <w:lang w:val="en-US" w:eastAsia="zh-CN"/>
              </w:rPr>
            </w:pPr>
            <w:r>
              <w:rPr>
                <w:rFonts w:hint="eastAsia" w:ascii="楷体" w:hAnsi="楷体" w:eastAsia="楷体" w:cs="楷体"/>
                <w:color w:val="auto"/>
                <w:sz w:val="18"/>
                <w:szCs w:val="18"/>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397" w:type="dxa"/>
            <w:shd w:val="clear" w:color="000000" w:fill="auto"/>
            <w:vAlign w:val="center"/>
          </w:tcPr>
          <w:p>
            <w:pPr>
              <w:keepNext w:val="0"/>
              <w:keepLines w:val="0"/>
              <w:pageBreakBefore w:val="0"/>
              <w:widowControl w:val="0"/>
              <w:numPr>
                <w:ilvl w:val="0"/>
                <w:numId w:val="6"/>
              </w:numPr>
              <w:kinsoku/>
              <w:wordWrap/>
              <w:overflowPunct/>
              <w:topLinePunct w:val="0"/>
              <w:autoSpaceDE/>
              <w:autoSpaceDN/>
              <w:bidi w:val="0"/>
              <w:adjustRightInd/>
              <w:snapToGrid/>
              <w:ind w:left="425" w:hanging="425" w:firstLineChars="0"/>
              <w:jc w:val="left"/>
              <w:textAlignment w:val="auto"/>
              <w:rPr>
                <w:rFonts w:hint="eastAsia" w:ascii="楷体" w:hAnsi="楷体" w:eastAsia="楷体" w:cs="楷体"/>
                <w:color w:val="auto"/>
                <w:sz w:val="18"/>
                <w:szCs w:val="18"/>
                <w:highlight w:val="none"/>
              </w:rPr>
            </w:pPr>
          </w:p>
        </w:tc>
        <w:tc>
          <w:tcPr>
            <w:tcW w:w="680" w:type="dxa"/>
            <w:shd w:val="clear" w:color="000000" w:fill="auto"/>
            <w:vAlign w:val="center"/>
          </w:tcPr>
          <w:p>
            <w:pPr>
              <w:widowControl/>
              <w:jc w:val="center"/>
              <w:textAlignment w:val="center"/>
              <w:rPr>
                <w:rFonts w:hint="eastAsia" w:ascii="楷体" w:hAnsi="楷体" w:eastAsia="楷体" w:cs="楷体"/>
                <w:color w:val="auto"/>
                <w:kern w:val="0"/>
                <w:szCs w:val="21"/>
                <w:highlight w:val="none"/>
                <w:lang w:val="en-US" w:eastAsia="zh-CN"/>
              </w:rPr>
            </w:pPr>
            <w:r>
              <w:rPr>
                <w:rFonts w:hint="eastAsia" w:ascii="楷体" w:hAnsi="楷体" w:eastAsia="楷体" w:cs="楷体"/>
                <w:color w:val="auto"/>
                <w:kern w:val="0"/>
                <w:szCs w:val="21"/>
                <w:highlight w:val="none"/>
                <w:lang w:val="en-US" w:eastAsia="zh-CN"/>
              </w:rPr>
              <w:t>配送</w:t>
            </w:r>
          </w:p>
        </w:tc>
        <w:tc>
          <w:tcPr>
            <w:tcW w:w="3515" w:type="dxa"/>
            <w:shd w:val="clear" w:color="000000" w:fill="auto"/>
            <w:vAlign w:val="center"/>
          </w:tcPr>
          <w:p>
            <w:pPr>
              <w:widowControl/>
              <w:jc w:val="both"/>
              <w:textAlignment w:val="center"/>
              <w:rPr>
                <w:rFonts w:hint="eastAsia" w:ascii="楷体" w:hAnsi="楷体" w:eastAsia="楷体" w:cs="楷体"/>
                <w:color w:val="auto"/>
                <w:sz w:val="18"/>
                <w:szCs w:val="18"/>
                <w:highlight w:val="none"/>
                <w:lang w:val="en-US" w:eastAsia="zh-CN"/>
              </w:rPr>
            </w:pPr>
            <w:r>
              <w:rPr>
                <w:rFonts w:hint="eastAsia" w:ascii="楷体" w:hAnsi="楷体" w:eastAsia="楷体" w:cs="楷体"/>
                <w:color w:val="auto"/>
                <w:kern w:val="0"/>
                <w:szCs w:val="21"/>
                <w:highlight w:val="none"/>
                <w:lang w:val="en-US" w:eastAsia="zh-CN"/>
              </w:rPr>
              <w:t>深圳顺丰泰森控股（集团）有限公司</w:t>
            </w:r>
          </w:p>
        </w:tc>
        <w:tc>
          <w:tcPr>
            <w:tcW w:w="973" w:type="dxa"/>
            <w:shd w:val="clear" w:color="000000" w:fill="auto"/>
            <w:vAlign w:val="center"/>
          </w:tcPr>
          <w:p>
            <w:pPr>
              <w:jc w:val="center"/>
              <w:rPr>
                <w:rFonts w:hint="eastAsia" w:ascii="楷体" w:hAnsi="楷体" w:eastAsia="楷体" w:cs="楷体"/>
                <w:color w:val="auto"/>
                <w:sz w:val="18"/>
                <w:szCs w:val="18"/>
                <w:highlight w:val="none"/>
              </w:rPr>
            </w:pPr>
            <w:r>
              <w:rPr>
                <w:rFonts w:hint="eastAsia" w:ascii="楷体" w:hAnsi="楷体" w:eastAsia="楷体" w:cs="楷体"/>
                <w:color w:val="auto"/>
                <w:sz w:val="18"/>
                <w:szCs w:val="18"/>
                <w:highlight w:val="none"/>
                <w:lang w:val="en-US" w:eastAsia="zh-CN"/>
              </w:rPr>
              <w:t>实地调研</w:t>
            </w:r>
          </w:p>
        </w:tc>
        <w:tc>
          <w:tcPr>
            <w:tcW w:w="4139" w:type="dxa"/>
            <w:shd w:val="clear" w:color="000000" w:fill="auto"/>
            <w:vAlign w:val="center"/>
          </w:tcPr>
          <w:p>
            <w:pPr>
              <w:widowControl/>
              <w:textAlignment w:val="center"/>
              <w:rPr>
                <w:rFonts w:hint="eastAsia" w:ascii="楷体" w:hAnsi="楷体" w:eastAsia="楷体" w:cs="楷体"/>
                <w:color w:val="auto"/>
                <w:kern w:val="0"/>
                <w:szCs w:val="21"/>
                <w:highlight w:val="none"/>
                <w:lang w:val="en-US" w:eastAsia="zh-CN"/>
              </w:rPr>
            </w:pPr>
            <w:r>
              <w:rPr>
                <w:rFonts w:hint="eastAsia" w:ascii="楷体" w:hAnsi="楷体" w:eastAsia="楷体" w:cs="楷体"/>
                <w:color w:val="auto"/>
                <w:kern w:val="0"/>
                <w:szCs w:val="21"/>
                <w:highlight w:val="none"/>
                <w:lang w:val="en-US" w:eastAsia="zh-CN"/>
              </w:rPr>
              <w:t>人员与培训、设施设备、服务流程、信息系统、档案管理、应急处置及服务评价</w:t>
            </w:r>
          </w:p>
        </w:tc>
        <w:tc>
          <w:tcPr>
            <w:tcW w:w="595" w:type="dxa"/>
            <w:shd w:val="clear" w:color="000000" w:fill="auto"/>
            <w:vAlign w:val="center"/>
          </w:tcPr>
          <w:p>
            <w:pPr>
              <w:jc w:val="center"/>
              <w:rPr>
                <w:rFonts w:hint="eastAsia" w:ascii="楷体" w:hAnsi="楷体" w:eastAsia="楷体" w:cs="楷体"/>
                <w:color w:val="auto"/>
                <w:sz w:val="18"/>
                <w:szCs w:val="18"/>
                <w:highlight w:val="none"/>
                <w:lang w:val="en-US" w:eastAsia="zh-CN"/>
              </w:rPr>
            </w:pPr>
            <w:r>
              <w:rPr>
                <w:rFonts w:hint="eastAsia" w:ascii="楷体" w:hAnsi="楷体" w:eastAsia="楷体" w:cs="楷体"/>
                <w:color w:val="auto"/>
                <w:sz w:val="18"/>
                <w:szCs w:val="18"/>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397" w:type="dxa"/>
            <w:shd w:val="clear" w:color="000000" w:fill="auto"/>
            <w:vAlign w:val="center"/>
          </w:tcPr>
          <w:p>
            <w:pPr>
              <w:keepNext w:val="0"/>
              <w:keepLines w:val="0"/>
              <w:pageBreakBefore w:val="0"/>
              <w:widowControl w:val="0"/>
              <w:numPr>
                <w:ilvl w:val="0"/>
                <w:numId w:val="6"/>
              </w:numPr>
              <w:kinsoku/>
              <w:wordWrap/>
              <w:overflowPunct/>
              <w:topLinePunct w:val="0"/>
              <w:autoSpaceDE/>
              <w:autoSpaceDN/>
              <w:bidi w:val="0"/>
              <w:adjustRightInd/>
              <w:snapToGrid/>
              <w:ind w:left="425" w:hanging="425" w:firstLineChars="0"/>
              <w:jc w:val="left"/>
              <w:textAlignment w:val="auto"/>
              <w:rPr>
                <w:rFonts w:hint="eastAsia" w:ascii="楷体" w:hAnsi="楷体" w:eastAsia="楷体" w:cs="楷体"/>
                <w:color w:val="auto"/>
                <w:sz w:val="18"/>
                <w:szCs w:val="18"/>
                <w:highlight w:val="none"/>
              </w:rPr>
            </w:pPr>
          </w:p>
        </w:tc>
        <w:tc>
          <w:tcPr>
            <w:tcW w:w="680" w:type="dxa"/>
            <w:vMerge w:val="restart"/>
            <w:shd w:val="clear" w:color="000000" w:fill="auto"/>
            <w:vAlign w:val="center"/>
          </w:tcPr>
          <w:p>
            <w:pPr>
              <w:widowControl/>
              <w:jc w:val="center"/>
              <w:textAlignment w:val="center"/>
              <w:rPr>
                <w:rFonts w:hint="default" w:ascii="楷体" w:hAnsi="楷体" w:eastAsia="楷体" w:cs="楷体"/>
                <w:color w:val="auto"/>
                <w:kern w:val="0"/>
                <w:szCs w:val="21"/>
                <w:highlight w:val="none"/>
                <w:lang w:val="en-US" w:eastAsia="zh-CN"/>
              </w:rPr>
            </w:pPr>
            <w:r>
              <w:rPr>
                <w:rFonts w:hint="eastAsia" w:ascii="楷体" w:hAnsi="楷体" w:eastAsia="楷体" w:cs="楷体"/>
                <w:color w:val="auto"/>
                <w:kern w:val="0"/>
                <w:szCs w:val="21"/>
                <w:highlight w:val="none"/>
                <w:lang w:val="en-US" w:eastAsia="zh-CN"/>
              </w:rPr>
              <w:t>有网络零售业务的药店</w:t>
            </w:r>
          </w:p>
        </w:tc>
        <w:tc>
          <w:tcPr>
            <w:tcW w:w="3515" w:type="dxa"/>
            <w:shd w:val="clear" w:color="000000" w:fill="auto"/>
            <w:vAlign w:val="center"/>
          </w:tcPr>
          <w:p>
            <w:pPr>
              <w:widowControl/>
              <w:jc w:val="both"/>
              <w:textAlignment w:val="center"/>
              <w:rPr>
                <w:rFonts w:hint="eastAsia" w:ascii="楷体" w:hAnsi="楷体" w:eastAsia="楷体" w:cs="楷体"/>
                <w:color w:val="auto"/>
                <w:sz w:val="18"/>
                <w:szCs w:val="18"/>
                <w:highlight w:val="none"/>
                <w:lang w:val="en-US" w:eastAsia="zh-CN"/>
              </w:rPr>
            </w:pPr>
            <w:r>
              <w:rPr>
                <w:rFonts w:hint="eastAsia" w:ascii="楷体" w:hAnsi="楷体" w:eastAsia="楷体" w:cs="楷体"/>
                <w:color w:val="auto"/>
                <w:kern w:val="0"/>
                <w:szCs w:val="21"/>
                <w:highlight w:val="none"/>
                <w:lang w:val="en-US" w:eastAsia="zh-CN"/>
              </w:rPr>
              <w:t>老百姓大药房连锁股份有限公司</w:t>
            </w:r>
          </w:p>
        </w:tc>
        <w:tc>
          <w:tcPr>
            <w:tcW w:w="973" w:type="dxa"/>
            <w:shd w:val="clear" w:color="000000" w:fill="auto"/>
            <w:vAlign w:val="center"/>
          </w:tcPr>
          <w:p>
            <w:pPr>
              <w:jc w:val="center"/>
              <w:rPr>
                <w:rFonts w:hint="eastAsia" w:ascii="楷体" w:hAnsi="楷体" w:eastAsia="楷体" w:cs="楷体"/>
                <w:color w:val="auto"/>
                <w:kern w:val="2"/>
                <w:sz w:val="18"/>
                <w:szCs w:val="18"/>
                <w:highlight w:val="none"/>
                <w:lang w:val="en-US" w:eastAsia="zh-CN" w:bidi="ar-SA"/>
              </w:rPr>
            </w:pPr>
            <w:r>
              <w:rPr>
                <w:rFonts w:hint="eastAsia" w:ascii="楷体" w:hAnsi="楷体" w:eastAsia="楷体" w:cs="楷体"/>
                <w:color w:val="auto"/>
                <w:sz w:val="18"/>
                <w:szCs w:val="18"/>
                <w:highlight w:val="none"/>
                <w:lang w:val="en-US" w:eastAsia="zh-CN"/>
              </w:rPr>
              <w:t>实地调研</w:t>
            </w:r>
          </w:p>
        </w:tc>
        <w:tc>
          <w:tcPr>
            <w:tcW w:w="4139" w:type="dxa"/>
            <w:shd w:val="clear" w:color="000000" w:fill="auto"/>
            <w:vAlign w:val="center"/>
          </w:tcPr>
          <w:p>
            <w:pPr>
              <w:widowControl/>
              <w:textAlignment w:val="center"/>
              <w:rPr>
                <w:rFonts w:hint="eastAsia" w:ascii="楷体" w:hAnsi="楷体" w:eastAsia="楷体" w:cs="楷体"/>
                <w:color w:val="auto"/>
                <w:kern w:val="0"/>
                <w:szCs w:val="21"/>
                <w:highlight w:val="none"/>
                <w:lang w:val="en-US" w:eastAsia="zh-CN"/>
              </w:rPr>
            </w:pPr>
            <w:r>
              <w:rPr>
                <w:rFonts w:hint="eastAsia" w:ascii="楷体" w:hAnsi="楷体" w:eastAsia="楷体" w:cs="楷体"/>
                <w:color w:val="auto"/>
                <w:kern w:val="0"/>
                <w:szCs w:val="21"/>
                <w:highlight w:val="none"/>
                <w:lang w:val="en-US" w:eastAsia="zh-CN"/>
              </w:rPr>
              <w:t>人员与培训、设施设备、服务流程、信息系统、档案管理、应急处置及服务评价</w:t>
            </w:r>
          </w:p>
        </w:tc>
        <w:tc>
          <w:tcPr>
            <w:tcW w:w="595" w:type="dxa"/>
            <w:shd w:val="clear" w:color="000000" w:fill="auto"/>
            <w:vAlign w:val="center"/>
          </w:tcPr>
          <w:p>
            <w:pPr>
              <w:jc w:val="center"/>
              <w:rPr>
                <w:rFonts w:hint="eastAsia" w:ascii="楷体" w:hAnsi="楷体" w:eastAsia="楷体" w:cs="楷体"/>
                <w:color w:val="auto"/>
                <w:sz w:val="18"/>
                <w:szCs w:val="18"/>
                <w:highlight w:val="none"/>
                <w:lang w:val="en-US" w:eastAsia="zh-CN"/>
              </w:rPr>
            </w:pPr>
            <w:r>
              <w:rPr>
                <w:rFonts w:hint="eastAsia" w:ascii="楷体" w:hAnsi="楷体" w:eastAsia="楷体" w:cs="楷体"/>
                <w:color w:val="auto"/>
                <w:sz w:val="18"/>
                <w:szCs w:val="18"/>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397" w:type="dxa"/>
            <w:shd w:val="clear" w:color="000000" w:fill="auto"/>
            <w:vAlign w:val="center"/>
          </w:tcPr>
          <w:p>
            <w:pPr>
              <w:keepNext w:val="0"/>
              <w:keepLines w:val="0"/>
              <w:pageBreakBefore w:val="0"/>
              <w:widowControl w:val="0"/>
              <w:numPr>
                <w:ilvl w:val="0"/>
                <w:numId w:val="6"/>
              </w:numPr>
              <w:kinsoku/>
              <w:wordWrap/>
              <w:overflowPunct/>
              <w:topLinePunct w:val="0"/>
              <w:autoSpaceDE/>
              <w:autoSpaceDN/>
              <w:bidi w:val="0"/>
              <w:adjustRightInd/>
              <w:snapToGrid/>
              <w:ind w:left="425" w:hanging="425" w:firstLineChars="0"/>
              <w:jc w:val="left"/>
              <w:textAlignment w:val="auto"/>
              <w:rPr>
                <w:rFonts w:hint="eastAsia" w:ascii="楷体" w:hAnsi="楷体" w:eastAsia="楷体" w:cs="楷体"/>
                <w:color w:val="auto"/>
                <w:sz w:val="18"/>
                <w:szCs w:val="18"/>
                <w:highlight w:val="none"/>
              </w:rPr>
            </w:pPr>
          </w:p>
        </w:tc>
        <w:tc>
          <w:tcPr>
            <w:tcW w:w="680" w:type="dxa"/>
            <w:vMerge w:val="continue"/>
            <w:shd w:val="clear" w:color="000000" w:fill="auto"/>
            <w:vAlign w:val="center"/>
          </w:tcPr>
          <w:p>
            <w:pPr>
              <w:widowControl/>
              <w:jc w:val="center"/>
              <w:textAlignment w:val="center"/>
              <w:rPr>
                <w:rFonts w:hint="eastAsia" w:ascii="楷体" w:hAnsi="楷体" w:eastAsia="楷体" w:cs="楷体"/>
                <w:color w:val="auto"/>
                <w:kern w:val="0"/>
                <w:szCs w:val="21"/>
                <w:highlight w:val="none"/>
                <w:lang w:val="en-US" w:eastAsia="zh-CN"/>
              </w:rPr>
            </w:pPr>
          </w:p>
        </w:tc>
        <w:tc>
          <w:tcPr>
            <w:tcW w:w="3515" w:type="dxa"/>
            <w:shd w:val="clear" w:color="000000" w:fill="auto"/>
            <w:vAlign w:val="center"/>
          </w:tcPr>
          <w:p>
            <w:pPr>
              <w:widowControl/>
              <w:jc w:val="both"/>
              <w:textAlignment w:val="center"/>
              <w:rPr>
                <w:rFonts w:hint="eastAsia" w:ascii="楷体" w:hAnsi="楷体" w:eastAsia="楷体" w:cs="楷体"/>
                <w:color w:val="auto"/>
                <w:sz w:val="18"/>
                <w:szCs w:val="18"/>
                <w:highlight w:val="none"/>
                <w:lang w:val="en-US" w:eastAsia="zh-CN"/>
              </w:rPr>
            </w:pPr>
            <w:r>
              <w:rPr>
                <w:rFonts w:hint="eastAsia" w:ascii="楷体" w:hAnsi="楷体" w:eastAsia="楷体" w:cs="楷体"/>
                <w:color w:val="auto"/>
                <w:kern w:val="0"/>
                <w:szCs w:val="21"/>
                <w:highlight w:val="none"/>
                <w:lang w:val="en-US" w:eastAsia="zh-CN"/>
              </w:rPr>
              <w:t>漱玉平民大药房连锁股份有限公司</w:t>
            </w:r>
          </w:p>
        </w:tc>
        <w:tc>
          <w:tcPr>
            <w:tcW w:w="973" w:type="dxa"/>
            <w:shd w:val="clear" w:color="000000" w:fill="auto"/>
            <w:vAlign w:val="center"/>
          </w:tcPr>
          <w:p>
            <w:pPr>
              <w:jc w:val="center"/>
              <w:rPr>
                <w:rFonts w:hint="eastAsia" w:ascii="楷体" w:hAnsi="楷体" w:eastAsia="楷体" w:cs="楷体"/>
                <w:color w:val="auto"/>
                <w:sz w:val="18"/>
                <w:szCs w:val="18"/>
                <w:highlight w:val="none"/>
              </w:rPr>
            </w:pPr>
            <w:r>
              <w:rPr>
                <w:rFonts w:hint="eastAsia" w:ascii="楷体" w:hAnsi="楷体" w:eastAsia="楷体" w:cs="楷体"/>
                <w:color w:val="auto"/>
                <w:sz w:val="18"/>
                <w:szCs w:val="18"/>
                <w:highlight w:val="none"/>
                <w:lang w:val="en-US" w:eastAsia="zh-CN"/>
              </w:rPr>
              <w:t>资料调研</w:t>
            </w:r>
          </w:p>
        </w:tc>
        <w:tc>
          <w:tcPr>
            <w:tcW w:w="4139" w:type="dxa"/>
            <w:shd w:val="clear" w:color="000000" w:fill="auto"/>
            <w:vAlign w:val="center"/>
          </w:tcPr>
          <w:p>
            <w:pPr>
              <w:widowControl/>
              <w:textAlignment w:val="center"/>
              <w:rPr>
                <w:rFonts w:hint="eastAsia" w:ascii="楷体" w:hAnsi="楷体" w:eastAsia="楷体" w:cs="楷体"/>
                <w:color w:val="auto"/>
                <w:kern w:val="0"/>
                <w:szCs w:val="21"/>
                <w:highlight w:val="none"/>
                <w:lang w:val="en-US" w:eastAsia="zh-CN"/>
              </w:rPr>
            </w:pPr>
            <w:r>
              <w:rPr>
                <w:rFonts w:hint="eastAsia" w:ascii="楷体" w:hAnsi="楷体" w:eastAsia="楷体" w:cs="楷体"/>
                <w:color w:val="auto"/>
                <w:kern w:val="0"/>
                <w:szCs w:val="21"/>
                <w:highlight w:val="none"/>
                <w:lang w:val="en-US" w:eastAsia="zh-CN"/>
              </w:rPr>
              <w:t>人员与培训、设施设备、服务流程、信息系统、档案管理、应急处置及服务评价</w:t>
            </w:r>
          </w:p>
        </w:tc>
        <w:tc>
          <w:tcPr>
            <w:tcW w:w="595" w:type="dxa"/>
            <w:shd w:val="clear" w:color="000000" w:fill="auto"/>
            <w:vAlign w:val="center"/>
          </w:tcPr>
          <w:p>
            <w:pPr>
              <w:jc w:val="center"/>
              <w:rPr>
                <w:rFonts w:hint="eastAsia" w:ascii="楷体" w:hAnsi="楷体" w:eastAsia="楷体" w:cs="楷体"/>
                <w:color w:val="auto"/>
                <w:sz w:val="18"/>
                <w:szCs w:val="18"/>
                <w:highlight w:val="none"/>
                <w:lang w:val="en-US" w:eastAsia="zh-CN"/>
              </w:rPr>
            </w:pPr>
            <w:r>
              <w:rPr>
                <w:rFonts w:hint="eastAsia" w:ascii="楷体" w:hAnsi="楷体" w:eastAsia="楷体" w:cs="楷体"/>
                <w:color w:val="auto"/>
                <w:sz w:val="18"/>
                <w:szCs w:val="18"/>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397" w:type="dxa"/>
            <w:shd w:val="clear" w:color="000000" w:fill="auto"/>
            <w:vAlign w:val="center"/>
          </w:tcPr>
          <w:p>
            <w:pPr>
              <w:keepNext w:val="0"/>
              <w:keepLines w:val="0"/>
              <w:pageBreakBefore w:val="0"/>
              <w:widowControl w:val="0"/>
              <w:numPr>
                <w:ilvl w:val="0"/>
                <w:numId w:val="6"/>
              </w:numPr>
              <w:kinsoku/>
              <w:wordWrap/>
              <w:overflowPunct/>
              <w:topLinePunct w:val="0"/>
              <w:autoSpaceDE/>
              <w:autoSpaceDN/>
              <w:bidi w:val="0"/>
              <w:adjustRightInd/>
              <w:snapToGrid/>
              <w:ind w:left="425" w:hanging="425" w:firstLineChars="0"/>
              <w:jc w:val="left"/>
              <w:textAlignment w:val="auto"/>
              <w:rPr>
                <w:rFonts w:hint="eastAsia" w:ascii="楷体" w:hAnsi="楷体" w:eastAsia="楷体" w:cs="楷体"/>
                <w:color w:val="auto"/>
                <w:sz w:val="18"/>
                <w:szCs w:val="18"/>
                <w:highlight w:val="none"/>
              </w:rPr>
            </w:pPr>
          </w:p>
        </w:tc>
        <w:tc>
          <w:tcPr>
            <w:tcW w:w="680" w:type="dxa"/>
            <w:vMerge w:val="continue"/>
            <w:shd w:val="clear" w:color="000000" w:fill="auto"/>
            <w:vAlign w:val="center"/>
          </w:tcPr>
          <w:p>
            <w:pPr>
              <w:widowControl/>
              <w:jc w:val="center"/>
              <w:textAlignment w:val="center"/>
              <w:rPr>
                <w:rFonts w:hint="eastAsia" w:ascii="楷体" w:hAnsi="楷体" w:eastAsia="楷体" w:cs="楷体"/>
                <w:color w:val="auto"/>
                <w:kern w:val="0"/>
                <w:szCs w:val="21"/>
                <w:highlight w:val="none"/>
                <w:lang w:val="en-US" w:eastAsia="zh-CN"/>
              </w:rPr>
            </w:pPr>
          </w:p>
        </w:tc>
        <w:tc>
          <w:tcPr>
            <w:tcW w:w="3515" w:type="dxa"/>
            <w:shd w:val="clear" w:color="000000" w:fill="auto"/>
            <w:vAlign w:val="center"/>
          </w:tcPr>
          <w:p>
            <w:pPr>
              <w:widowControl/>
              <w:jc w:val="both"/>
              <w:textAlignment w:val="center"/>
              <w:rPr>
                <w:rFonts w:hint="eastAsia" w:ascii="楷体" w:hAnsi="楷体" w:eastAsia="楷体" w:cs="楷体"/>
                <w:color w:val="auto"/>
                <w:sz w:val="18"/>
                <w:szCs w:val="18"/>
                <w:highlight w:val="none"/>
                <w:lang w:val="en-US" w:eastAsia="zh-CN"/>
              </w:rPr>
            </w:pPr>
            <w:r>
              <w:rPr>
                <w:rFonts w:hint="eastAsia" w:ascii="楷体" w:hAnsi="楷体" w:eastAsia="楷体" w:cs="楷体"/>
                <w:color w:val="auto"/>
                <w:kern w:val="0"/>
                <w:szCs w:val="21"/>
                <w:highlight w:val="none"/>
                <w:lang w:val="en-US" w:eastAsia="zh-CN"/>
              </w:rPr>
              <w:t>河南张仲景大药房股份有限公司</w:t>
            </w:r>
          </w:p>
        </w:tc>
        <w:tc>
          <w:tcPr>
            <w:tcW w:w="973" w:type="dxa"/>
            <w:shd w:val="clear" w:color="000000" w:fill="auto"/>
            <w:vAlign w:val="center"/>
          </w:tcPr>
          <w:p>
            <w:pPr>
              <w:jc w:val="center"/>
              <w:rPr>
                <w:rFonts w:hint="eastAsia" w:ascii="楷体" w:hAnsi="楷体" w:eastAsia="楷体" w:cs="楷体"/>
                <w:color w:val="auto"/>
                <w:sz w:val="18"/>
                <w:szCs w:val="18"/>
                <w:highlight w:val="none"/>
              </w:rPr>
            </w:pPr>
            <w:r>
              <w:rPr>
                <w:rFonts w:hint="eastAsia" w:ascii="楷体" w:hAnsi="楷体" w:eastAsia="楷体" w:cs="楷体"/>
                <w:color w:val="auto"/>
                <w:sz w:val="18"/>
                <w:szCs w:val="18"/>
                <w:highlight w:val="none"/>
                <w:lang w:val="en-US" w:eastAsia="zh-CN"/>
              </w:rPr>
              <w:t>资料调研</w:t>
            </w:r>
          </w:p>
        </w:tc>
        <w:tc>
          <w:tcPr>
            <w:tcW w:w="4139" w:type="dxa"/>
            <w:shd w:val="clear" w:color="000000" w:fill="auto"/>
            <w:vAlign w:val="center"/>
          </w:tcPr>
          <w:p>
            <w:pPr>
              <w:widowControl/>
              <w:textAlignment w:val="center"/>
              <w:rPr>
                <w:rFonts w:hint="eastAsia" w:ascii="楷体" w:hAnsi="楷体" w:eastAsia="楷体" w:cs="楷体"/>
                <w:color w:val="auto"/>
                <w:kern w:val="0"/>
                <w:szCs w:val="21"/>
                <w:highlight w:val="none"/>
                <w:lang w:val="en-US" w:eastAsia="zh-CN"/>
              </w:rPr>
            </w:pPr>
            <w:r>
              <w:rPr>
                <w:rFonts w:hint="eastAsia" w:ascii="楷体" w:hAnsi="楷体" w:eastAsia="楷体" w:cs="楷体"/>
                <w:color w:val="auto"/>
                <w:kern w:val="0"/>
                <w:szCs w:val="21"/>
                <w:highlight w:val="none"/>
                <w:lang w:val="en-US" w:eastAsia="zh-CN"/>
              </w:rPr>
              <w:t>人员与培训、设施设备、服务流程、信息系统、档案管理、应急处置及服务评价</w:t>
            </w:r>
          </w:p>
        </w:tc>
        <w:tc>
          <w:tcPr>
            <w:tcW w:w="595" w:type="dxa"/>
            <w:shd w:val="clear" w:color="000000" w:fill="auto"/>
            <w:vAlign w:val="center"/>
          </w:tcPr>
          <w:p>
            <w:pPr>
              <w:jc w:val="center"/>
              <w:rPr>
                <w:rFonts w:hint="eastAsia" w:ascii="楷体" w:hAnsi="楷体" w:eastAsia="楷体" w:cs="楷体"/>
                <w:color w:val="auto"/>
                <w:sz w:val="18"/>
                <w:szCs w:val="18"/>
                <w:highlight w:val="none"/>
                <w:lang w:val="en-US" w:eastAsia="zh-CN"/>
              </w:rPr>
            </w:pPr>
            <w:r>
              <w:rPr>
                <w:rFonts w:hint="eastAsia" w:ascii="楷体" w:hAnsi="楷体" w:eastAsia="楷体" w:cs="楷体"/>
                <w:color w:val="auto"/>
                <w:sz w:val="18"/>
                <w:szCs w:val="18"/>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397" w:type="dxa"/>
            <w:shd w:val="clear" w:color="000000" w:fill="auto"/>
            <w:vAlign w:val="center"/>
          </w:tcPr>
          <w:p>
            <w:pPr>
              <w:keepNext w:val="0"/>
              <w:keepLines w:val="0"/>
              <w:pageBreakBefore w:val="0"/>
              <w:widowControl w:val="0"/>
              <w:numPr>
                <w:ilvl w:val="0"/>
                <w:numId w:val="6"/>
              </w:numPr>
              <w:kinsoku/>
              <w:wordWrap/>
              <w:overflowPunct/>
              <w:topLinePunct w:val="0"/>
              <w:autoSpaceDE/>
              <w:autoSpaceDN/>
              <w:bidi w:val="0"/>
              <w:adjustRightInd/>
              <w:snapToGrid/>
              <w:ind w:left="425" w:hanging="425" w:firstLineChars="0"/>
              <w:jc w:val="left"/>
              <w:textAlignment w:val="auto"/>
              <w:rPr>
                <w:rFonts w:hint="eastAsia" w:ascii="楷体" w:hAnsi="楷体" w:eastAsia="楷体" w:cs="楷体"/>
                <w:color w:val="auto"/>
                <w:sz w:val="18"/>
                <w:szCs w:val="18"/>
                <w:highlight w:val="none"/>
              </w:rPr>
            </w:pPr>
          </w:p>
        </w:tc>
        <w:tc>
          <w:tcPr>
            <w:tcW w:w="680" w:type="dxa"/>
            <w:vMerge w:val="continue"/>
            <w:shd w:val="clear" w:color="000000" w:fill="auto"/>
            <w:vAlign w:val="center"/>
          </w:tcPr>
          <w:p>
            <w:pPr>
              <w:widowControl/>
              <w:jc w:val="center"/>
              <w:textAlignment w:val="center"/>
              <w:rPr>
                <w:rFonts w:hint="eastAsia" w:ascii="楷体" w:hAnsi="楷体" w:eastAsia="楷体" w:cs="楷体"/>
                <w:color w:val="auto"/>
                <w:kern w:val="0"/>
                <w:szCs w:val="21"/>
                <w:highlight w:val="none"/>
                <w:lang w:val="en-US" w:eastAsia="zh-CN"/>
              </w:rPr>
            </w:pPr>
          </w:p>
        </w:tc>
        <w:tc>
          <w:tcPr>
            <w:tcW w:w="3515" w:type="dxa"/>
            <w:shd w:val="clear" w:color="000000" w:fill="auto"/>
            <w:vAlign w:val="center"/>
          </w:tcPr>
          <w:p>
            <w:pPr>
              <w:widowControl/>
              <w:jc w:val="both"/>
              <w:textAlignment w:val="center"/>
              <w:rPr>
                <w:rFonts w:hint="eastAsia" w:ascii="楷体" w:hAnsi="楷体" w:eastAsia="楷体" w:cs="楷体"/>
                <w:color w:val="auto"/>
                <w:sz w:val="18"/>
                <w:szCs w:val="18"/>
                <w:highlight w:val="none"/>
                <w:lang w:val="en-US" w:eastAsia="zh-CN"/>
              </w:rPr>
            </w:pPr>
            <w:r>
              <w:rPr>
                <w:rFonts w:hint="eastAsia" w:ascii="楷体" w:hAnsi="楷体" w:eastAsia="楷体" w:cs="楷体"/>
                <w:color w:val="auto"/>
                <w:kern w:val="0"/>
                <w:szCs w:val="21"/>
                <w:highlight w:val="none"/>
                <w:lang w:val="en-US" w:eastAsia="zh-CN"/>
              </w:rPr>
              <w:t>好药师大药房连锁有限公司</w:t>
            </w:r>
          </w:p>
        </w:tc>
        <w:tc>
          <w:tcPr>
            <w:tcW w:w="973" w:type="dxa"/>
            <w:shd w:val="clear" w:color="000000" w:fill="auto"/>
            <w:vAlign w:val="center"/>
          </w:tcPr>
          <w:p>
            <w:pPr>
              <w:jc w:val="center"/>
              <w:rPr>
                <w:rFonts w:hint="eastAsia" w:ascii="楷体" w:hAnsi="楷体" w:eastAsia="楷体" w:cs="楷体"/>
                <w:color w:val="auto"/>
                <w:sz w:val="18"/>
                <w:szCs w:val="18"/>
                <w:highlight w:val="none"/>
              </w:rPr>
            </w:pPr>
            <w:r>
              <w:rPr>
                <w:rFonts w:hint="eastAsia" w:ascii="楷体" w:hAnsi="楷体" w:eastAsia="楷体" w:cs="楷体"/>
                <w:color w:val="auto"/>
                <w:sz w:val="18"/>
                <w:szCs w:val="18"/>
                <w:highlight w:val="none"/>
                <w:lang w:val="en-US" w:eastAsia="zh-CN"/>
              </w:rPr>
              <w:t>实地调研</w:t>
            </w:r>
          </w:p>
        </w:tc>
        <w:tc>
          <w:tcPr>
            <w:tcW w:w="4139" w:type="dxa"/>
            <w:shd w:val="clear" w:color="000000" w:fill="auto"/>
            <w:vAlign w:val="center"/>
          </w:tcPr>
          <w:p>
            <w:pPr>
              <w:widowControl/>
              <w:textAlignment w:val="center"/>
              <w:rPr>
                <w:rFonts w:hint="eastAsia" w:ascii="楷体" w:hAnsi="楷体" w:eastAsia="楷体" w:cs="楷体"/>
                <w:color w:val="auto"/>
                <w:kern w:val="0"/>
                <w:szCs w:val="21"/>
                <w:highlight w:val="none"/>
                <w:lang w:val="en-US" w:eastAsia="zh-CN"/>
              </w:rPr>
            </w:pPr>
            <w:r>
              <w:rPr>
                <w:rFonts w:hint="eastAsia" w:ascii="楷体" w:hAnsi="楷体" w:eastAsia="楷体" w:cs="楷体"/>
                <w:color w:val="auto"/>
                <w:kern w:val="0"/>
                <w:szCs w:val="21"/>
                <w:highlight w:val="none"/>
                <w:lang w:val="en-US" w:eastAsia="zh-CN"/>
              </w:rPr>
              <w:t>人员与培训、设施设备、服务流程、信息系统、档案管理、应急处置及服务评价</w:t>
            </w:r>
          </w:p>
        </w:tc>
        <w:tc>
          <w:tcPr>
            <w:tcW w:w="595" w:type="dxa"/>
            <w:shd w:val="clear" w:color="000000" w:fill="auto"/>
            <w:vAlign w:val="center"/>
          </w:tcPr>
          <w:p>
            <w:pPr>
              <w:jc w:val="center"/>
              <w:rPr>
                <w:rFonts w:hint="eastAsia" w:ascii="楷体" w:hAnsi="楷体" w:eastAsia="楷体" w:cs="楷体"/>
                <w:color w:val="auto"/>
                <w:sz w:val="18"/>
                <w:szCs w:val="18"/>
                <w:highlight w:val="none"/>
                <w:lang w:val="en-US" w:eastAsia="zh-CN"/>
              </w:rPr>
            </w:pPr>
            <w:r>
              <w:rPr>
                <w:rFonts w:hint="eastAsia" w:ascii="楷体" w:hAnsi="楷体" w:eastAsia="楷体" w:cs="楷体"/>
                <w:color w:val="auto"/>
                <w:sz w:val="18"/>
                <w:szCs w:val="18"/>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397" w:type="dxa"/>
            <w:shd w:val="clear" w:color="000000" w:fill="auto"/>
            <w:vAlign w:val="center"/>
          </w:tcPr>
          <w:p>
            <w:pPr>
              <w:keepNext w:val="0"/>
              <w:keepLines w:val="0"/>
              <w:pageBreakBefore w:val="0"/>
              <w:widowControl w:val="0"/>
              <w:numPr>
                <w:ilvl w:val="0"/>
                <w:numId w:val="6"/>
              </w:numPr>
              <w:kinsoku/>
              <w:wordWrap/>
              <w:overflowPunct/>
              <w:topLinePunct w:val="0"/>
              <w:autoSpaceDE/>
              <w:autoSpaceDN/>
              <w:bidi w:val="0"/>
              <w:adjustRightInd/>
              <w:snapToGrid/>
              <w:ind w:left="425" w:hanging="425" w:firstLineChars="0"/>
              <w:jc w:val="left"/>
              <w:textAlignment w:val="auto"/>
              <w:rPr>
                <w:rFonts w:hint="eastAsia" w:ascii="楷体" w:hAnsi="楷体" w:eastAsia="楷体" w:cs="楷体"/>
                <w:color w:val="auto"/>
                <w:sz w:val="18"/>
                <w:szCs w:val="18"/>
                <w:highlight w:val="none"/>
              </w:rPr>
            </w:pPr>
          </w:p>
        </w:tc>
        <w:tc>
          <w:tcPr>
            <w:tcW w:w="680" w:type="dxa"/>
            <w:shd w:val="clear" w:color="000000" w:fill="auto"/>
            <w:vAlign w:val="center"/>
          </w:tcPr>
          <w:p>
            <w:pPr>
              <w:widowControl/>
              <w:jc w:val="center"/>
              <w:textAlignment w:val="center"/>
              <w:rPr>
                <w:rFonts w:hint="eastAsia" w:ascii="楷体" w:hAnsi="楷体" w:eastAsia="楷体" w:cs="楷体"/>
                <w:color w:val="auto"/>
                <w:kern w:val="0"/>
                <w:szCs w:val="21"/>
                <w:highlight w:val="none"/>
                <w:lang w:val="en-US" w:eastAsia="zh-CN"/>
              </w:rPr>
            </w:pPr>
            <w:r>
              <w:rPr>
                <w:rFonts w:hint="eastAsia" w:ascii="楷体" w:hAnsi="楷体" w:eastAsia="楷体" w:cs="楷体"/>
                <w:color w:val="auto"/>
                <w:kern w:val="0"/>
                <w:szCs w:val="21"/>
                <w:highlight w:val="none"/>
                <w:lang w:val="en-US" w:eastAsia="zh-CN"/>
              </w:rPr>
              <w:t>配送</w:t>
            </w:r>
          </w:p>
        </w:tc>
        <w:tc>
          <w:tcPr>
            <w:tcW w:w="3515" w:type="dxa"/>
            <w:shd w:val="clear" w:color="000000" w:fill="auto"/>
            <w:vAlign w:val="center"/>
          </w:tcPr>
          <w:p>
            <w:pPr>
              <w:widowControl/>
              <w:jc w:val="both"/>
              <w:textAlignment w:val="center"/>
              <w:rPr>
                <w:rFonts w:hint="eastAsia" w:ascii="楷体" w:hAnsi="楷体" w:eastAsia="楷体" w:cs="楷体"/>
                <w:color w:val="auto"/>
                <w:sz w:val="18"/>
                <w:szCs w:val="18"/>
                <w:highlight w:val="none"/>
                <w:lang w:val="en-US" w:eastAsia="zh-CN"/>
              </w:rPr>
            </w:pPr>
            <w:r>
              <w:rPr>
                <w:rFonts w:hint="eastAsia" w:ascii="楷体" w:hAnsi="楷体" w:eastAsia="楷体" w:cs="楷体"/>
                <w:color w:val="auto"/>
                <w:kern w:val="0"/>
                <w:szCs w:val="21"/>
                <w:highlight w:val="none"/>
                <w:lang w:val="en-US" w:eastAsia="zh-CN"/>
              </w:rPr>
              <w:t>鹭燕医药股份有限公司</w:t>
            </w:r>
          </w:p>
        </w:tc>
        <w:tc>
          <w:tcPr>
            <w:tcW w:w="973" w:type="dxa"/>
            <w:shd w:val="clear" w:color="000000" w:fill="auto"/>
            <w:vAlign w:val="center"/>
          </w:tcPr>
          <w:p>
            <w:pPr>
              <w:jc w:val="center"/>
              <w:rPr>
                <w:rFonts w:hint="eastAsia" w:ascii="楷体" w:hAnsi="楷体" w:eastAsia="楷体" w:cs="楷体"/>
                <w:color w:val="auto"/>
                <w:sz w:val="18"/>
                <w:szCs w:val="18"/>
                <w:highlight w:val="none"/>
              </w:rPr>
            </w:pPr>
            <w:r>
              <w:rPr>
                <w:rFonts w:hint="eastAsia" w:ascii="楷体" w:hAnsi="楷体" w:eastAsia="楷体" w:cs="楷体"/>
                <w:color w:val="auto"/>
                <w:sz w:val="18"/>
                <w:szCs w:val="18"/>
                <w:highlight w:val="none"/>
                <w:lang w:val="en-US" w:eastAsia="zh-CN"/>
              </w:rPr>
              <w:t>资料调研</w:t>
            </w:r>
          </w:p>
        </w:tc>
        <w:tc>
          <w:tcPr>
            <w:tcW w:w="4139" w:type="dxa"/>
            <w:shd w:val="clear" w:color="000000" w:fill="auto"/>
            <w:vAlign w:val="center"/>
          </w:tcPr>
          <w:p>
            <w:pPr>
              <w:widowControl/>
              <w:textAlignment w:val="center"/>
              <w:rPr>
                <w:rFonts w:hint="eastAsia" w:ascii="楷体" w:hAnsi="楷体" w:eastAsia="楷体" w:cs="楷体"/>
                <w:color w:val="auto"/>
                <w:kern w:val="0"/>
                <w:szCs w:val="21"/>
                <w:highlight w:val="none"/>
                <w:lang w:val="en-US" w:eastAsia="zh-CN"/>
              </w:rPr>
            </w:pPr>
            <w:r>
              <w:rPr>
                <w:rFonts w:hint="eastAsia" w:ascii="楷体" w:hAnsi="楷体" w:eastAsia="楷体" w:cs="楷体"/>
                <w:color w:val="auto"/>
                <w:kern w:val="0"/>
                <w:szCs w:val="21"/>
                <w:highlight w:val="none"/>
                <w:lang w:val="en-US" w:eastAsia="zh-CN"/>
              </w:rPr>
              <w:t>人员与培训、设施设备、服务流程、信息系统、档案管理、应急处置及服务评价</w:t>
            </w:r>
          </w:p>
        </w:tc>
        <w:tc>
          <w:tcPr>
            <w:tcW w:w="595" w:type="dxa"/>
            <w:shd w:val="clear" w:color="000000" w:fill="auto"/>
            <w:vAlign w:val="center"/>
          </w:tcPr>
          <w:p>
            <w:pPr>
              <w:jc w:val="center"/>
              <w:rPr>
                <w:rFonts w:hint="eastAsia" w:ascii="楷体" w:hAnsi="楷体" w:eastAsia="楷体" w:cs="楷体"/>
                <w:color w:val="auto"/>
                <w:sz w:val="18"/>
                <w:szCs w:val="18"/>
                <w:highlight w:val="none"/>
                <w:lang w:val="en-US" w:eastAsia="zh-CN"/>
              </w:rPr>
            </w:pPr>
            <w:r>
              <w:rPr>
                <w:rFonts w:hint="eastAsia" w:ascii="楷体" w:hAnsi="楷体" w:eastAsia="楷体" w:cs="楷体"/>
                <w:color w:val="auto"/>
                <w:sz w:val="18"/>
                <w:szCs w:val="18"/>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397" w:type="dxa"/>
            <w:shd w:val="clear" w:color="000000" w:fill="auto"/>
            <w:vAlign w:val="center"/>
          </w:tcPr>
          <w:p>
            <w:pPr>
              <w:keepNext w:val="0"/>
              <w:keepLines w:val="0"/>
              <w:pageBreakBefore w:val="0"/>
              <w:widowControl w:val="0"/>
              <w:numPr>
                <w:ilvl w:val="0"/>
                <w:numId w:val="6"/>
              </w:numPr>
              <w:kinsoku/>
              <w:wordWrap/>
              <w:overflowPunct/>
              <w:topLinePunct w:val="0"/>
              <w:autoSpaceDE/>
              <w:autoSpaceDN/>
              <w:bidi w:val="0"/>
              <w:adjustRightInd/>
              <w:snapToGrid/>
              <w:ind w:left="425" w:hanging="425" w:firstLineChars="0"/>
              <w:jc w:val="left"/>
              <w:textAlignment w:val="auto"/>
              <w:rPr>
                <w:rFonts w:hint="eastAsia" w:ascii="楷体" w:hAnsi="楷体" w:eastAsia="楷体" w:cs="楷体"/>
                <w:color w:val="auto"/>
                <w:sz w:val="18"/>
                <w:szCs w:val="18"/>
                <w:highlight w:val="none"/>
              </w:rPr>
            </w:pPr>
          </w:p>
        </w:tc>
        <w:tc>
          <w:tcPr>
            <w:tcW w:w="680" w:type="dxa"/>
            <w:shd w:val="clear" w:color="000000" w:fill="auto"/>
            <w:vAlign w:val="center"/>
          </w:tcPr>
          <w:p>
            <w:pPr>
              <w:widowControl/>
              <w:jc w:val="center"/>
              <w:textAlignment w:val="center"/>
              <w:rPr>
                <w:rFonts w:hint="eastAsia" w:ascii="楷体" w:hAnsi="楷体" w:eastAsia="楷体" w:cs="楷体"/>
                <w:color w:val="auto"/>
                <w:kern w:val="0"/>
                <w:szCs w:val="21"/>
                <w:highlight w:val="none"/>
                <w:lang w:val="en-US" w:eastAsia="zh-CN"/>
              </w:rPr>
            </w:pPr>
            <w:r>
              <w:rPr>
                <w:rFonts w:hint="eastAsia" w:ascii="楷体" w:hAnsi="楷体" w:eastAsia="楷体" w:cs="楷体"/>
                <w:color w:val="auto"/>
                <w:kern w:val="0"/>
                <w:szCs w:val="21"/>
                <w:highlight w:val="none"/>
                <w:lang w:val="en-US" w:eastAsia="zh-CN"/>
              </w:rPr>
              <w:t>配送</w:t>
            </w:r>
          </w:p>
        </w:tc>
        <w:tc>
          <w:tcPr>
            <w:tcW w:w="3515" w:type="dxa"/>
            <w:shd w:val="clear" w:color="000000" w:fill="auto"/>
            <w:vAlign w:val="center"/>
          </w:tcPr>
          <w:p>
            <w:pPr>
              <w:widowControl/>
              <w:jc w:val="both"/>
              <w:textAlignment w:val="center"/>
              <w:rPr>
                <w:rFonts w:hint="eastAsia" w:ascii="楷体" w:hAnsi="楷体" w:eastAsia="楷体" w:cs="楷体"/>
                <w:color w:val="auto"/>
                <w:sz w:val="18"/>
                <w:szCs w:val="18"/>
                <w:highlight w:val="none"/>
                <w:lang w:val="en-US" w:eastAsia="zh-CN"/>
              </w:rPr>
            </w:pPr>
            <w:r>
              <w:rPr>
                <w:rFonts w:hint="eastAsia" w:ascii="楷体" w:hAnsi="楷体" w:eastAsia="楷体" w:cs="楷体"/>
                <w:color w:val="auto"/>
                <w:kern w:val="0"/>
                <w:szCs w:val="21"/>
                <w:highlight w:val="none"/>
                <w:lang w:val="en-US" w:eastAsia="zh-CN"/>
              </w:rPr>
              <w:t>上海腾翼搏时供应链有限公司</w:t>
            </w:r>
          </w:p>
        </w:tc>
        <w:tc>
          <w:tcPr>
            <w:tcW w:w="973" w:type="dxa"/>
            <w:shd w:val="clear" w:color="000000" w:fill="auto"/>
            <w:vAlign w:val="center"/>
          </w:tcPr>
          <w:p>
            <w:pPr>
              <w:jc w:val="center"/>
              <w:rPr>
                <w:rFonts w:hint="eastAsia" w:ascii="楷体" w:hAnsi="楷体" w:eastAsia="楷体" w:cs="楷体"/>
                <w:color w:val="auto"/>
                <w:sz w:val="18"/>
                <w:szCs w:val="18"/>
                <w:highlight w:val="none"/>
              </w:rPr>
            </w:pPr>
            <w:r>
              <w:rPr>
                <w:rFonts w:hint="eastAsia" w:ascii="楷体" w:hAnsi="楷体" w:eastAsia="楷体" w:cs="楷体"/>
                <w:color w:val="auto"/>
                <w:sz w:val="18"/>
                <w:szCs w:val="18"/>
                <w:highlight w:val="none"/>
                <w:lang w:val="en-US" w:eastAsia="zh-CN"/>
              </w:rPr>
              <w:t>实地调研</w:t>
            </w:r>
          </w:p>
        </w:tc>
        <w:tc>
          <w:tcPr>
            <w:tcW w:w="4139" w:type="dxa"/>
            <w:shd w:val="clear" w:color="000000" w:fill="auto"/>
            <w:vAlign w:val="center"/>
          </w:tcPr>
          <w:p>
            <w:pPr>
              <w:widowControl/>
              <w:textAlignment w:val="center"/>
              <w:rPr>
                <w:rFonts w:hint="eastAsia" w:ascii="楷体" w:hAnsi="楷体" w:eastAsia="楷体" w:cs="楷体"/>
                <w:color w:val="auto"/>
                <w:kern w:val="0"/>
                <w:szCs w:val="21"/>
                <w:highlight w:val="none"/>
                <w:lang w:val="en-US" w:eastAsia="zh-CN"/>
              </w:rPr>
            </w:pPr>
            <w:r>
              <w:rPr>
                <w:rFonts w:hint="eastAsia" w:ascii="楷体" w:hAnsi="楷体" w:eastAsia="楷体" w:cs="楷体"/>
                <w:color w:val="auto"/>
                <w:kern w:val="0"/>
                <w:szCs w:val="21"/>
                <w:highlight w:val="none"/>
                <w:lang w:val="en-US" w:eastAsia="zh-CN"/>
              </w:rPr>
              <w:t>人员与培训、设施设备、服务流程、信息系统、档案管理、应急处置及服务评价</w:t>
            </w:r>
          </w:p>
        </w:tc>
        <w:tc>
          <w:tcPr>
            <w:tcW w:w="595" w:type="dxa"/>
            <w:shd w:val="clear" w:color="000000" w:fill="auto"/>
            <w:vAlign w:val="center"/>
          </w:tcPr>
          <w:p>
            <w:pPr>
              <w:jc w:val="center"/>
              <w:rPr>
                <w:rFonts w:hint="eastAsia" w:ascii="楷体" w:hAnsi="楷体" w:eastAsia="楷体" w:cs="楷体"/>
                <w:color w:val="auto"/>
                <w:sz w:val="18"/>
                <w:szCs w:val="18"/>
                <w:highlight w:val="none"/>
                <w:lang w:val="en-US" w:eastAsia="zh-CN"/>
              </w:rPr>
            </w:pPr>
            <w:r>
              <w:rPr>
                <w:rFonts w:hint="eastAsia" w:ascii="楷体" w:hAnsi="楷体" w:eastAsia="楷体" w:cs="楷体"/>
                <w:color w:val="auto"/>
                <w:sz w:val="18"/>
                <w:szCs w:val="18"/>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397" w:type="dxa"/>
            <w:shd w:val="clear" w:color="000000" w:fill="auto"/>
            <w:vAlign w:val="center"/>
          </w:tcPr>
          <w:p>
            <w:pPr>
              <w:keepNext w:val="0"/>
              <w:keepLines w:val="0"/>
              <w:pageBreakBefore w:val="0"/>
              <w:widowControl w:val="0"/>
              <w:numPr>
                <w:ilvl w:val="0"/>
                <w:numId w:val="6"/>
              </w:numPr>
              <w:kinsoku/>
              <w:wordWrap/>
              <w:overflowPunct/>
              <w:topLinePunct w:val="0"/>
              <w:autoSpaceDE/>
              <w:autoSpaceDN/>
              <w:bidi w:val="0"/>
              <w:adjustRightInd/>
              <w:snapToGrid/>
              <w:ind w:left="425" w:hanging="425" w:firstLineChars="0"/>
              <w:jc w:val="left"/>
              <w:textAlignment w:val="auto"/>
              <w:rPr>
                <w:rFonts w:hint="eastAsia" w:ascii="楷体" w:hAnsi="楷体" w:eastAsia="楷体" w:cs="楷体"/>
                <w:color w:val="auto"/>
                <w:sz w:val="18"/>
                <w:szCs w:val="18"/>
                <w:highlight w:val="none"/>
              </w:rPr>
            </w:pPr>
          </w:p>
        </w:tc>
        <w:tc>
          <w:tcPr>
            <w:tcW w:w="680" w:type="dxa"/>
            <w:shd w:val="clear" w:color="000000" w:fill="auto"/>
            <w:vAlign w:val="center"/>
          </w:tcPr>
          <w:p>
            <w:pPr>
              <w:widowControl/>
              <w:jc w:val="center"/>
              <w:textAlignment w:val="center"/>
              <w:rPr>
                <w:rFonts w:hint="default" w:ascii="楷体" w:hAnsi="楷体" w:eastAsia="楷体" w:cs="楷体"/>
                <w:color w:val="auto"/>
                <w:kern w:val="0"/>
                <w:szCs w:val="21"/>
                <w:highlight w:val="none"/>
                <w:lang w:val="en-US" w:eastAsia="zh-CN"/>
              </w:rPr>
            </w:pPr>
            <w:r>
              <w:rPr>
                <w:rFonts w:hint="eastAsia" w:ascii="楷体" w:hAnsi="楷体" w:eastAsia="楷体" w:cs="楷体"/>
                <w:color w:val="auto"/>
                <w:kern w:val="0"/>
                <w:szCs w:val="21"/>
                <w:highlight w:val="none"/>
                <w:lang w:val="en-US" w:eastAsia="zh-CN"/>
              </w:rPr>
              <w:t>箱子</w:t>
            </w:r>
          </w:p>
        </w:tc>
        <w:tc>
          <w:tcPr>
            <w:tcW w:w="3515" w:type="dxa"/>
            <w:shd w:val="clear" w:color="000000" w:fill="auto"/>
            <w:vAlign w:val="center"/>
          </w:tcPr>
          <w:p>
            <w:pPr>
              <w:widowControl/>
              <w:jc w:val="both"/>
              <w:textAlignment w:val="center"/>
              <w:rPr>
                <w:rFonts w:hint="eastAsia" w:ascii="楷体" w:hAnsi="楷体" w:eastAsia="楷体" w:cs="楷体"/>
                <w:color w:val="auto"/>
                <w:sz w:val="18"/>
                <w:szCs w:val="18"/>
                <w:highlight w:val="none"/>
                <w:lang w:val="en-US" w:eastAsia="zh-CN"/>
              </w:rPr>
            </w:pPr>
            <w:r>
              <w:rPr>
                <w:rFonts w:hint="eastAsia" w:ascii="楷体" w:hAnsi="楷体" w:eastAsia="楷体" w:cs="楷体"/>
                <w:color w:val="auto"/>
                <w:kern w:val="0"/>
                <w:szCs w:val="21"/>
                <w:highlight w:val="none"/>
                <w:lang w:val="en-US" w:eastAsia="zh-CN"/>
              </w:rPr>
              <w:t>青岛海尔生物医疗股份有限公司</w:t>
            </w:r>
          </w:p>
        </w:tc>
        <w:tc>
          <w:tcPr>
            <w:tcW w:w="973" w:type="dxa"/>
            <w:shd w:val="clear" w:color="000000" w:fill="auto"/>
            <w:vAlign w:val="center"/>
          </w:tcPr>
          <w:p>
            <w:pPr>
              <w:jc w:val="center"/>
              <w:rPr>
                <w:rFonts w:hint="eastAsia" w:ascii="楷体" w:hAnsi="楷体" w:eastAsia="楷体" w:cs="楷体"/>
                <w:color w:val="auto"/>
                <w:sz w:val="18"/>
                <w:szCs w:val="18"/>
                <w:highlight w:val="none"/>
              </w:rPr>
            </w:pPr>
            <w:r>
              <w:rPr>
                <w:rFonts w:hint="eastAsia" w:ascii="楷体" w:hAnsi="楷体" w:eastAsia="楷体" w:cs="楷体"/>
                <w:color w:val="auto"/>
                <w:sz w:val="18"/>
                <w:szCs w:val="18"/>
                <w:highlight w:val="none"/>
                <w:lang w:val="en-US" w:eastAsia="zh-CN"/>
              </w:rPr>
              <w:t>资料调研</w:t>
            </w:r>
          </w:p>
        </w:tc>
        <w:tc>
          <w:tcPr>
            <w:tcW w:w="4139" w:type="dxa"/>
            <w:shd w:val="clear" w:color="000000" w:fill="auto"/>
            <w:vAlign w:val="center"/>
          </w:tcPr>
          <w:p>
            <w:pPr>
              <w:widowControl/>
              <w:textAlignment w:val="center"/>
              <w:rPr>
                <w:rFonts w:hint="default" w:ascii="楷体" w:hAnsi="楷体" w:eastAsia="楷体" w:cs="楷体"/>
                <w:color w:val="auto"/>
                <w:kern w:val="0"/>
                <w:szCs w:val="21"/>
                <w:highlight w:val="none"/>
                <w:lang w:val="en-US" w:eastAsia="zh-CN"/>
              </w:rPr>
            </w:pPr>
            <w:r>
              <w:rPr>
                <w:rFonts w:hint="eastAsia" w:ascii="楷体" w:hAnsi="楷体" w:eastAsia="楷体" w:cs="楷体"/>
                <w:color w:val="auto"/>
                <w:kern w:val="0"/>
                <w:szCs w:val="21"/>
                <w:highlight w:val="none"/>
                <w:lang w:val="en-US" w:eastAsia="zh-CN"/>
              </w:rPr>
              <w:t>应使用吸水性低、透气性小、导热系数小、保温性能好的药品配送箱进行配送，且冷链药品配送箱应符合WB/T 1097的要求。</w:t>
            </w:r>
          </w:p>
        </w:tc>
        <w:tc>
          <w:tcPr>
            <w:tcW w:w="595" w:type="dxa"/>
            <w:shd w:val="clear" w:color="000000" w:fill="auto"/>
            <w:vAlign w:val="center"/>
          </w:tcPr>
          <w:p>
            <w:pPr>
              <w:jc w:val="center"/>
              <w:rPr>
                <w:rFonts w:hint="eastAsia" w:ascii="楷体" w:hAnsi="楷体" w:eastAsia="楷体" w:cs="楷体"/>
                <w:color w:val="auto"/>
                <w:sz w:val="18"/>
                <w:szCs w:val="18"/>
                <w:highlight w:val="none"/>
                <w:lang w:val="en-US" w:eastAsia="zh-CN"/>
              </w:rPr>
            </w:pPr>
            <w:r>
              <w:rPr>
                <w:rFonts w:hint="eastAsia" w:ascii="楷体" w:hAnsi="楷体" w:eastAsia="楷体" w:cs="楷体"/>
                <w:color w:val="auto"/>
                <w:sz w:val="18"/>
                <w:szCs w:val="18"/>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397" w:type="dxa"/>
            <w:shd w:val="clear" w:color="000000" w:fill="auto"/>
            <w:vAlign w:val="center"/>
          </w:tcPr>
          <w:p>
            <w:pPr>
              <w:keepNext w:val="0"/>
              <w:keepLines w:val="0"/>
              <w:pageBreakBefore w:val="0"/>
              <w:widowControl w:val="0"/>
              <w:numPr>
                <w:ilvl w:val="0"/>
                <w:numId w:val="6"/>
              </w:numPr>
              <w:kinsoku/>
              <w:wordWrap/>
              <w:overflowPunct/>
              <w:topLinePunct w:val="0"/>
              <w:autoSpaceDE/>
              <w:autoSpaceDN/>
              <w:bidi w:val="0"/>
              <w:adjustRightInd/>
              <w:snapToGrid/>
              <w:ind w:left="425" w:hanging="425" w:firstLineChars="0"/>
              <w:jc w:val="left"/>
              <w:textAlignment w:val="auto"/>
              <w:rPr>
                <w:rFonts w:hint="eastAsia" w:ascii="楷体" w:hAnsi="楷体" w:eastAsia="楷体" w:cs="楷体"/>
                <w:color w:val="auto"/>
                <w:sz w:val="18"/>
                <w:szCs w:val="18"/>
                <w:highlight w:val="none"/>
              </w:rPr>
            </w:pPr>
          </w:p>
        </w:tc>
        <w:tc>
          <w:tcPr>
            <w:tcW w:w="680" w:type="dxa"/>
            <w:shd w:val="clear" w:color="000000" w:fill="auto"/>
            <w:vAlign w:val="center"/>
          </w:tcPr>
          <w:p>
            <w:pPr>
              <w:widowControl/>
              <w:jc w:val="center"/>
              <w:textAlignment w:val="center"/>
              <w:rPr>
                <w:rFonts w:hint="default" w:ascii="楷体" w:hAnsi="楷体" w:eastAsia="楷体" w:cs="楷体"/>
                <w:color w:val="auto"/>
                <w:kern w:val="0"/>
                <w:szCs w:val="21"/>
                <w:highlight w:val="none"/>
                <w:lang w:val="en-US" w:eastAsia="zh-CN"/>
              </w:rPr>
            </w:pPr>
            <w:r>
              <w:rPr>
                <w:rFonts w:hint="eastAsia" w:ascii="楷体" w:hAnsi="楷体" w:eastAsia="楷体" w:cs="楷体"/>
                <w:color w:val="auto"/>
                <w:kern w:val="0"/>
                <w:szCs w:val="21"/>
                <w:highlight w:val="none"/>
                <w:lang w:val="en-US" w:eastAsia="zh-CN"/>
              </w:rPr>
              <w:t>车</w:t>
            </w:r>
          </w:p>
        </w:tc>
        <w:tc>
          <w:tcPr>
            <w:tcW w:w="3515" w:type="dxa"/>
            <w:shd w:val="clear" w:color="000000" w:fill="auto"/>
            <w:vAlign w:val="center"/>
          </w:tcPr>
          <w:p>
            <w:pPr>
              <w:widowControl/>
              <w:jc w:val="both"/>
              <w:textAlignment w:val="center"/>
              <w:rPr>
                <w:rFonts w:hint="eastAsia" w:ascii="楷体" w:hAnsi="楷体" w:eastAsia="楷体" w:cs="楷体"/>
                <w:color w:val="auto"/>
                <w:sz w:val="18"/>
                <w:szCs w:val="18"/>
                <w:highlight w:val="none"/>
                <w:lang w:val="en-US" w:eastAsia="zh-CN"/>
              </w:rPr>
            </w:pPr>
            <w:r>
              <w:rPr>
                <w:rFonts w:hint="eastAsia" w:ascii="楷体" w:hAnsi="楷体" w:eastAsia="楷体" w:cs="楷体"/>
                <w:color w:val="auto"/>
                <w:kern w:val="0"/>
                <w:szCs w:val="21"/>
                <w:highlight w:val="none"/>
                <w:lang w:val="en-US" w:eastAsia="zh-CN"/>
              </w:rPr>
              <w:t>德力新能源汽车有限公司</w:t>
            </w:r>
          </w:p>
        </w:tc>
        <w:tc>
          <w:tcPr>
            <w:tcW w:w="973" w:type="dxa"/>
            <w:shd w:val="clear" w:color="000000" w:fill="auto"/>
            <w:vAlign w:val="center"/>
          </w:tcPr>
          <w:p>
            <w:pPr>
              <w:jc w:val="center"/>
              <w:rPr>
                <w:rFonts w:hint="eastAsia" w:ascii="楷体" w:hAnsi="楷体" w:eastAsia="楷体" w:cs="楷体"/>
                <w:color w:val="auto"/>
                <w:sz w:val="18"/>
                <w:szCs w:val="18"/>
                <w:highlight w:val="none"/>
              </w:rPr>
            </w:pPr>
            <w:r>
              <w:rPr>
                <w:rFonts w:hint="eastAsia" w:ascii="楷体" w:hAnsi="楷体" w:eastAsia="楷体" w:cs="楷体"/>
                <w:color w:val="auto"/>
                <w:sz w:val="18"/>
                <w:szCs w:val="18"/>
                <w:highlight w:val="none"/>
                <w:lang w:val="en-US" w:eastAsia="zh-CN"/>
              </w:rPr>
              <w:t>资料调研</w:t>
            </w:r>
          </w:p>
        </w:tc>
        <w:tc>
          <w:tcPr>
            <w:tcW w:w="4139" w:type="dxa"/>
            <w:shd w:val="clear" w:color="000000" w:fill="auto"/>
            <w:vAlign w:val="center"/>
          </w:tcPr>
          <w:p>
            <w:pPr>
              <w:widowControl/>
              <w:textAlignment w:val="center"/>
              <w:rPr>
                <w:rFonts w:hint="eastAsia" w:ascii="楷体" w:hAnsi="楷体" w:eastAsia="楷体" w:cs="楷体"/>
                <w:color w:val="auto"/>
                <w:kern w:val="0"/>
                <w:szCs w:val="21"/>
                <w:highlight w:val="none"/>
                <w:lang w:val="en-US" w:eastAsia="zh-CN"/>
              </w:rPr>
            </w:pPr>
            <w:r>
              <w:rPr>
                <w:rFonts w:hint="eastAsia" w:ascii="楷体" w:hAnsi="楷体" w:eastAsia="楷体" w:cs="楷体"/>
                <w:color w:val="auto"/>
                <w:kern w:val="0"/>
                <w:szCs w:val="21"/>
                <w:highlight w:val="none"/>
                <w:lang w:val="en-US" w:eastAsia="zh-CN"/>
              </w:rPr>
              <w:t>应使用封闭式药品配送车辆进行配送，且冷链药品配送车辆应符合WB/T 1104的要求、应在药品配送车辆或配送箱内设置与药品储存温度相适应的独立区域。</w:t>
            </w:r>
          </w:p>
        </w:tc>
        <w:tc>
          <w:tcPr>
            <w:tcW w:w="595" w:type="dxa"/>
            <w:shd w:val="clear" w:color="000000" w:fill="auto"/>
            <w:vAlign w:val="center"/>
          </w:tcPr>
          <w:p>
            <w:pPr>
              <w:jc w:val="center"/>
              <w:rPr>
                <w:rFonts w:hint="eastAsia" w:ascii="楷体" w:hAnsi="楷体" w:eastAsia="楷体" w:cs="楷体"/>
                <w:color w:val="auto"/>
                <w:sz w:val="18"/>
                <w:szCs w:val="18"/>
                <w:highlight w:val="none"/>
                <w:lang w:val="en-US" w:eastAsia="zh-CN"/>
              </w:rPr>
            </w:pPr>
            <w:r>
              <w:rPr>
                <w:rFonts w:hint="eastAsia" w:ascii="楷体" w:hAnsi="楷体" w:eastAsia="楷体" w:cs="楷体"/>
                <w:color w:val="auto"/>
                <w:sz w:val="18"/>
                <w:szCs w:val="18"/>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397" w:type="dxa"/>
            <w:shd w:val="clear" w:color="000000" w:fill="auto"/>
            <w:vAlign w:val="center"/>
          </w:tcPr>
          <w:p>
            <w:pPr>
              <w:keepNext w:val="0"/>
              <w:keepLines w:val="0"/>
              <w:pageBreakBefore w:val="0"/>
              <w:widowControl w:val="0"/>
              <w:numPr>
                <w:ilvl w:val="0"/>
                <w:numId w:val="6"/>
              </w:numPr>
              <w:kinsoku/>
              <w:wordWrap/>
              <w:overflowPunct/>
              <w:topLinePunct w:val="0"/>
              <w:autoSpaceDE/>
              <w:autoSpaceDN/>
              <w:bidi w:val="0"/>
              <w:adjustRightInd/>
              <w:snapToGrid/>
              <w:ind w:left="425" w:hanging="425" w:firstLineChars="0"/>
              <w:jc w:val="left"/>
              <w:textAlignment w:val="auto"/>
              <w:rPr>
                <w:rFonts w:hint="eastAsia" w:ascii="楷体" w:hAnsi="楷体" w:eastAsia="楷体" w:cs="楷体"/>
                <w:color w:val="auto"/>
                <w:sz w:val="18"/>
                <w:szCs w:val="18"/>
                <w:highlight w:val="none"/>
              </w:rPr>
            </w:pPr>
          </w:p>
        </w:tc>
        <w:tc>
          <w:tcPr>
            <w:tcW w:w="680" w:type="dxa"/>
            <w:shd w:val="clear" w:color="000000" w:fill="auto"/>
            <w:vAlign w:val="center"/>
          </w:tcPr>
          <w:p>
            <w:pPr>
              <w:widowControl/>
              <w:jc w:val="center"/>
              <w:textAlignment w:val="center"/>
              <w:rPr>
                <w:rFonts w:hint="default" w:ascii="楷体" w:hAnsi="楷体" w:eastAsia="楷体" w:cs="楷体"/>
                <w:color w:val="auto"/>
                <w:kern w:val="0"/>
                <w:szCs w:val="21"/>
                <w:highlight w:val="none"/>
                <w:lang w:val="en-US" w:eastAsia="zh-CN"/>
              </w:rPr>
            </w:pPr>
            <w:r>
              <w:rPr>
                <w:rFonts w:hint="eastAsia" w:ascii="楷体" w:hAnsi="楷体" w:eastAsia="楷体" w:cs="楷体"/>
                <w:color w:val="auto"/>
                <w:kern w:val="0"/>
                <w:szCs w:val="21"/>
                <w:highlight w:val="none"/>
                <w:lang w:val="en-US" w:eastAsia="zh-CN"/>
              </w:rPr>
              <w:t>验证</w:t>
            </w:r>
          </w:p>
        </w:tc>
        <w:tc>
          <w:tcPr>
            <w:tcW w:w="3515" w:type="dxa"/>
            <w:shd w:val="clear" w:color="000000" w:fill="auto"/>
            <w:vAlign w:val="center"/>
          </w:tcPr>
          <w:p>
            <w:pPr>
              <w:widowControl/>
              <w:jc w:val="both"/>
              <w:textAlignment w:val="center"/>
              <w:rPr>
                <w:rFonts w:hint="eastAsia" w:ascii="楷体" w:hAnsi="楷体" w:eastAsia="楷体" w:cs="楷体"/>
                <w:color w:val="auto"/>
                <w:sz w:val="18"/>
                <w:szCs w:val="18"/>
                <w:highlight w:val="none"/>
                <w:lang w:val="en-US" w:eastAsia="zh-CN"/>
              </w:rPr>
            </w:pPr>
            <w:r>
              <w:rPr>
                <w:rFonts w:hint="eastAsia" w:ascii="楷体" w:hAnsi="楷体" w:eastAsia="楷体" w:cs="楷体"/>
                <w:color w:val="auto"/>
                <w:kern w:val="0"/>
                <w:szCs w:val="21"/>
                <w:highlight w:val="none"/>
                <w:lang w:val="en-US" w:eastAsia="zh-CN"/>
              </w:rPr>
              <w:t>四川万物纪年信息科技有限公司</w:t>
            </w:r>
          </w:p>
        </w:tc>
        <w:tc>
          <w:tcPr>
            <w:tcW w:w="973" w:type="dxa"/>
            <w:shd w:val="clear" w:color="000000" w:fill="auto"/>
            <w:vAlign w:val="center"/>
          </w:tcPr>
          <w:p>
            <w:pPr>
              <w:jc w:val="center"/>
              <w:rPr>
                <w:rFonts w:hint="eastAsia" w:ascii="楷体" w:hAnsi="楷体" w:eastAsia="楷体" w:cs="楷体"/>
                <w:color w:val="auto"/>
                <w:sz w:val="18"/>
                <w:szCs w:val="18"/>
                <w:highlight w:val="none"/>
              </w:rPr>
            </w:pPr>
            <w:r>
              <w:rPr>
                <w:rFonts w:hint="eastAsia" w:ascii="楷体" w:hAnsi="楷体" w:eastAsia="楷体" w:cs="楷体"/>
                <w:color w:val="auto"/>
                <w:sz w:val="18"/>
                <w:szCs w:val="18"/>
                <w:highlight w:val="none"/>
                <w:lang w:val="en-US" w:eastAsia="zh-CN"/>
              </w:rPr>
              <w:t>实地调研</w:t>
            </w:r>
          </w:p>
        </w:tc>
        <w:tc>
          <w:tcPr>
            <w:tcW w:w="4139" w:type="dxa"/>
            <w:shd w:val="clear" w:color="000000" w:fill="auto"/>
            <w:vAlign w:val="center"/>
          </w:tcPr>
          <w:p>
            <w:pPr>
              <w:widowControl/>
              <w:textAlignment w:val="center"/>
              <w:rPr>
                <w:rFonts w:hint="default" w:ascii="楷体" w:hAnsi="楷体" w:eastAsia="楷体" w:cs="楷体"/>
                <w:color w:val="auto"/>
                <w:kern w:val="0"/>
                <w:szCs w:val="21"/>
                <w:highlight w:val="none"/>
                <w:lang w:val="en-US" w:eastAsia="zh-CN"/>
              </w:rPr>
            </w:pPr>
            <w:r>
              <w:rPr>
                <w:rFonts w:hint="default" w:ascii="楷体" w:hAnsi="楷体" w:eastAsia="楷体" w:cs="楷体"/>
                <w:color w:val="auto"/>
                <w:kern w:val="0"/>
                <w:szCs w:val="21"/>
                <w:highlight w:val="none"/>
                <w:lang w:val="en-US" w:eastAsia="zh-CN"/>
              </w:rPr>
              <w:t>冷链药品配送车辆或配送箱其性能确认应符合GB/T 34399要求,并在验证结果支持的范围内进行使用。</w:t>
            </w:r>
          </w:p>
        </w:tc>
        <w:tc>
          <w:tcPr>
            <w:tcW w:w="595" w:type="dxa"/>
            <w:shd w:val="clear" w:color="000000" w:fill="auto"/>
            <w:vAlign w:val="center"/>
          </w:tcPr>
          <w:p>
            <w:pPr>
              <w:jc w:val="center"/>
              <w:rPr>
                <w:rFonts w:hint="eastAsia" w:ascii="楷体" w:hAnsi="楷体" w:eastAsia="楷体" w:cs="楷体"/>
                <w:color w:val="auto"/>
                <w:sz w:val="18"/>
                <w:szCs w:val="18"/>
                <w:highlight w:val="none"/>
                <w:lang w:val="en-US" w:eastAsia="zh-CN"/>
              </w:rPr>
            </w:pPr>
            <w:r>
              <w:rPr>
                <w:rFonts w:hint="eastAsia" w:ascii="楷体" w:hAnsi="楷体" w:eastAsia="楷体" w:cs="楷体"/>
                <w:color w:val="auto"/>
                <w:sz w:val="18"/>
                <w:szCs w:val="18"/>
                <w:highlight w:val="none"/>
                <w:lang w:val="en-US" w:eastAsia="zh-CN"/>
              </w:rPr>
              <w:t>符合</w:t>
            </w:r>
          </w:p>
        </w:tc>
      </w:tr>
    </w:tbl>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四、采用国际标准和国外先进标准的程度，以及与国际、国外同类标准水平的对比情况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无</w:t>
      </w:r>
    </w:p>
    <w:p>
      <w:pPr>
        <w:keepNext w:val="0"/>
        <w:keepLines w:val="0"/>
        <w:pageBreakBefore w:val="0"/>
        <w:widowControl w:val="0"/>
        <w:numPr>
          <w:ilvl w:val="0"/>
          <w:numId w:val="7"/>
        </w:numPr>
        <w:kinsoku/>
        <w:wordWrap/>
        <w:overflowPunct/>
        <w:topLinePunct w:val="0"/>
        <w:autoSpaceDE/>
        <w:autoSpaceDN/>
        <w:bidi w:val="0"/>
        <w:adjustRightInd/>
        <w:snapToGrid/>
        <w:ind w:firstLine="640" w:firstLineChars="200"/>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与有关的现行法律、法规和标准的关系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该标准根据《中华人民共和国药品管理法》《药品经营质量管理规范》及附录6进行编写内容，详细描写了网络零售配送过程中的要求，与现有标准和制定中的标准没有矛盾，与其他行业或领域没有冲突。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六、重大分歧意见的处理经过和依据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七、实施建议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1、中物联医药物流分会将通过举办培训班、发放宣传资料以及网络、微信、公众号等方式强化宣传，大力普及标准，营造贯彻标准的良好氛围，提高标准的社会关注度与知晓度，促进各相关企业准确理解、掌握和执行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2、中物联医药物流分会推动相关政府主管部门积极引用标准，协调建议将该标准引入法规，更好的规范企业运营，努力构建一个层级分明、标准统一、协调有序的疫苗冷链仓储、运输安全监管体系，畅通标准实施信息反馈渠道，促进标准的实施，确保标准能够有效落地。</w:t>
      </w:r>
    </w:p>
    <w:p>
      <w:pPr>
        <w:keepNext w:val="0"/>
        <w:keepLines w:val="0"/>
        <w:pageBreakBefore w:val="0"/>
        <w:widowControl w:val="0"/>
        <w:numPr>
          <w:ilvl w:val="0"/>
          <w:numId w:val="8"/>
        </w:numPr>
        <w:kinsoku/>
        <w:wordWrap/>
        <w:overflowPunct/>
        <w:topLinePunct w:val="0"/>
        <w:autoSpaceDE/>
        <w:autoSpaceDN/>
        <w:bidi w:val="0"/>
        <w:adjustRightInd/>
        <w:snapToGrid/>
        <w:ind w:firstLine="640" w:firstLineChars="200"/>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废止现行有关标准的建议</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楷体" w:hAnsi="楷体" w:eastAsia="楷体" w:cs="楷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 xml:space="preserve">    </w:t>
      </w:r>
      <w:r>
        <w:rPr>
          <w:rFonts w:hint="eastAsia" w:ascii="楷体" w:hAnsi="楷体" w:eastAsia="楷体" w:cs="楷体"/>
          <w:color w:val="auto"/>
          <w:sz w:val="32"/>
          <w:szCs w:val="32"/>
          <w:highlight w:val="none"/>
          <w:lang w:val="en-US" w:eastAsia="zh-CN"/>
        </w:rPr>
        <w:t>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九、其他应当说明的事项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无</w:t>
      </w:r>
    </w:p>
    <w:p>
      <w:pPr>
        <w:rPr>
          <w:rFonts w:hint="eastAsia" w:eastAsiaTheme="minorEastAsia"/>
          <w:color w:val="auto"/>
          <w:highlight w:val="none"/>
          <w:lang w:val="en-US"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5D67F5"/>
    <w:multiLevelType w:val="singleLevel"/>
    <w:tmpl w:val="BF5D67F5"/>
    <w:lvl w:ilvl="0" w:tentative="0">
      <w:start w:val="1"/>
      <w:numFmt w:val="decimal"/>
      <w:lvlText w:val="%1."/>
      <w:lvlJc w:val="left"/>
      <w:pPr>
        <w:ind w:left="635" w:hanging="425"/>
      </w:pPr>
      <w:rPr>
        <w:rFonts w:hint="default"/>
      </w:rPr>
    </w:lvl>
  </w:abstractNum>
  <w:abstractNum w:abstractNumId="1">
    <w:nsid w:val="F81068CF"/>
    <w:multiLevelType w:val="singleLevel"/>
    <w:tmpl w:val="F81068CF"/>
    <w:lvl w:ilvl="0" w:tentative="0">
      <w:start w:val="2"/>
      <w:numFmt w:val="decimal"/>
      <w:suff w:val="nothing"/>
      <w:lvlText w:val="（%1）"/>
      <w:lvlJc w:val="left"/>
    </w:lvl>
  </w:abstractNum>
  <w:abstractNum w:abstractNumId="2">
    <w:nsid w:val="FE19B98E"/>
    <w:multiLevelType w:val="singleLevel"/>
    <w:tmpl w:val="FE19B98E"/>
    <w:lvl w:ilvl="0" w:tentative="0">
      <w:start w:val="5"/>
      <w:numFmt w:val="chineseCounting"/>
      <w:suff w:val="nothing"/>
      <w:lvlText w:val="%1、"/>
      <w:lvlJc w:val="left"/>
      <w:rPr>
        <w:rFonts w:hint="eastAsia"/>
      </w:rPr>
    </w:lvl>
  </w:abstractNum>
  <w:abstractNum w:abstractNumId="3">
    <w:nsid w:val="090A30B6"/>
    <w:multiLevelType w:val="singleLevel"/>
    <w:tmpl w:val="090A30B6"/>
    <w:lvl w:ilvl="0" w:tentative="0">
      <w:start w:val="1"/>
      <w:numFmt w:val="decimal"/>
      <w:lvlText w:val="%1."/>
      <w:lvlJc w:val="left"/>
      <w:pPr>
        <w:ind w:left="425" w:hanging="425"/>
      </w:pPr>
      <w:rPr>
        <w:rFonts w:hint="default"/>
      </w:rPr>
    </w:lvl>
  </w:abstractNum>
  <w:abstractNum w:abstractNumId="4">
    <w:nsid w:val="4B4988C1"/>
    <w:multiLevelType w:val="singleLevel"/>
    <w:tmpl w:val="4B4988C1"/>
    <w:lvl w:ilvl="0" w:tentative="0">
      <w:start w:val="2"/>
      <w:numFmt w:val="chineseCounting"/>
      <w:suff w:val="nothing"/>
      <w:lvlText w:val="（%1）"/>
      <w:lvlJc w:val="left"/>
      <w:rPr>
        <w:rFonts w:hint="eastAsia"/>
      </w:rPr>
    </w:lvl>
  </w:abstractNum>
  <w:abstractNum w:abstractNumId="5">
    <w:nsid w:val="63CDB8D9"/>
    <w:multiLevelType w:val="singleLevel"/>
    <w:tmpl w:val="63CDB8D9"/>
    <w:lvl w:ilvl="0" w:tentative="0">
      <w:start w:val="8"/>
      <w:numFmt w:val="chineseCounting"/>
      <w:suff w:val="nothing"/>
      <w:lvlText w:val="%1、"/>
      <w:lvlJc w:val="left"/>
      <w:rPr>
        <w:rFonts w:hint="eastAsia"/>
      </w:rPr>
    </w:lvl>
  </w:abstractNum>
  <w:abstractNum w:abstractNumId="6">
    <w:nsid w:val="6CEA2025"/>
    <w:multiLevelType w:val="multilevel"/>
    <w:tmpl w:val="6CEA2025"/>
    <w:lvl w:ilvl="0" w:tentative="0">
      <w:start w:val="1"/>
      <w:numFmt w:val="none"/>
      <w:suff w:val="nothing"/>
      <w:lvlText w:val="%1"/>
      <w:lvlJc w:val="left"/>
      <w:pPr>
        <w:ind w:left="0" w:firstLine="0"/>
      </w:pPr>
      <w:rPr>
        <w:rFonts w:hint="eastAsia"/>
      </w:rPr>
    </w:lvl>
    <w:lvl w:ilvl="1" w:tentative="0">
      <w:start w:val="1"/>
      <w:numFmt w:val="decimal"/>
      <w:pStyle w:val="20"/>
      <w:suff w:val="nothing"/>
      <w:lvlText w:val="%1%2　"/>
      <w:lvlJc w:val="left"/>
      <w:pPr>
        <w:ind w:left="0" w:firstLine="0"/>
      </w:pPr>
      <w:rPr>
        <w:rFonts w:hint="eastAsia" w:ascii="黑体" w:eastAsia="黑体"/>
        <w:b w:val="0"/>
        <w:i w:val="0"/>
        <w:sz w:val="21"/>
      </w:rPr>
    </w:lvl>
    <w:lvl w:ilvl="2" w:tentative="0">
      <w:start w:val="1"/>
      <w:numFmt w:val="decimal"/>
      <w:pStyle w:val="19"/>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21"/>
      <w:suff w:val="nothing"/>
      <w:lvlText w:val="%1%2.%3.%4　"/>
      <w:lvlJc w:val="left"/>
      <w:pPr>
        <w:ind w:left="0" w:firstLine="0"/>
      </w:pPr>
      <w:rPr>
        <w:rFonts w:hint="eastAsia" w:ascii="黑体" w:eastAsia="黑体"/>
        <w:b w:val="0"/>
        <w:i w:val="0"/>
        <w:sz w:val="21"/>
      </w:rPr>
    </w:lvl>
    <w:lvl w:ilvl="4" w:tentative="0">
      <w:start w:val="1"/>
      <w:numFmt w:val="decimal"/>
      <w:suff w:val="nothing"/>
      <w:lvlText w:val="%1%2.%3.%4.%5　"/>
      <w:lvlJc w:val="left"/>
      <w:pPr>
        <w:ind w:left="0" w:firstLine="0"/>
      </w:pPr>
      <w:rPr>
        <w:rFonts w:hint="eastAsia" w:ascii="黑体" w:eastAsia="黑体"/>
        <w:b w:val="0"/>
        <w:i w:val="0"/>
        <w:sz w:val="21"/>
      </w:rPr>
    </w:lvl>
    <w:lvl w:ilvl="5" w:tentative="0">
      <w:start w:val="1"/>
      <w:numFmt w:val="decimal"/>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7">
    <w:nsid w:val="7E173B0D"/>
    <w:multiLevelType w:val="singleLevel"/>
    <w:tmpl w:val="7E173B0D"/>
    <w:lvl w:ilvl="0" w:tentative="0">
      <w:start w:val="1"/>
      <w:numFmt w:val="decimal"/>
      <w:lvlText w:val="%1."/>
      <w:lvlJc w:val="left"/>
      <w:pPr>
        <w:ind w:left="635" w:hanging="425"/>
      </w:pPr>
      <w:rPr>
        <w:rFonts w:hint="default"/>
      </w:rPr>
    </w:lvl>
  </w:abstractNum>
  <w:num w:numId="1">
    <w:abstractNumId w:val="6"/>
  </w:num>
  <w:num w:numId="2">
    <w:abstractNumId w:val="4"/>
  </w:num>
  <w:num w:numId="3">
    <w:abstractNumId w:val="0"/>
  </w:num>
  <w:num w:numId="4">
    <w:abstractNumId w:val="7"/>
  </w:num>
  <w:num w:numId="5">
    <w:abstractNumId w:val="1"/>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kZDZkNjFhOTYzZmUxNzc4NmFhOTEwNDM0MDQ5ZmQifQ=="/>
  </w:docVars>
  <w:rsids>
    <w:rsidRoot w:val="3B6644BA"/>
    <w:rsid w:val="04E36DEE"/>
    <w:rsid w:val="05540D6B"/>
    <w:rsid w:val="08935065"/>
    <w:rsid w:val="0A6F1AB5"/>
    <w:rsid w:val="0E87566C"/>
    <w:rsid w:val="18B3705E"/>
    <w:rsid w:val="1B212DA1"/>
    <w:rsid w:val="21FA2EB3"/>
    <w:rsid w:val="23B75AD9"/>
    <w:rsid w:val="245B6F27"/>
    <w:rsid w:val="2C016606"/>
    <w:rsid w:val="2E5F6AE7"/>
    <w:rsid w:val="389136A8"/>
    <w:rsid w:val="390D2E84"/>
    <w:rsid w:val="3933182B"/>
    <w:rsid w:val="3B6644BA"/>
    <w:rsid w:val="3BFF2436"/>
    <w:rsid w:val="430D48A1"/>
    <w:rsid w:val="44AF4552"/>
    <w:rsid w:val="44FC39B7"/>
    <w:rsid w:val="46091532"/>
    <w:rsid w:val="4C7C718B"/>
    <w:rsid w:val="4D437238"/>
    <w:rsid w:val="4FBD3D43"/>
    <w:rsid w:val="4FC43B0E"/>
    <w:rsid w:val="5EE237C6"/>
    <w:rsid w:val="68C03A4B"/>
    <w:rsid w:val="6BB169FA"/>
    <w:rsid w:val="6D116F35"/>
    <w:rsid w:val="6F5778B8"/>
    <w:rsid w:val="6F8729BE"/>
    <w:rsid w:val="711D7930"/>
    <w:rsid w:val="7212760C"/>
    <w:rsid w:val="764C3163"/>
    <w:rsid w:val="7A122D59"/>
    <w:rsid w:val="7DD006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Plain Text"/>
    <w:basedOn w:val="1"/>
    <w:semiHidden/>
    <w:qFormat/>
    <w:uiPriority w:val="0"/>
    <w:rPr>
      <w:rFonts w:ascii="宋体" w:hAnsi="Courier New" w:cs="Courier New"/>
      <w:szCs w:val="21"/>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footnote text"/>
    <w:basedOn w:val="1"/>
    <w:next w:val="1"/>
    <w:semiHidden/>
    <w:qFormat/>
    <w:uiPriority w:val="0"/>
    <w:pPr>
      <w:adjustRightInd/>
      <w:snapToGrid w:val="0"/>
      <w:spacing w:line="300" w:lineRule="exact"/>
      <w:ind w:left="400" w:leftChars="200" w:hanging="200" w:hangingChars="200"/>
      <w:jc w:val="left"/>
    </w:pPr>
    <w:rPr>
      <w:rFonts w:ascii="宋体"/>
      <w:sz w:val="18"/>
      <w:szCs w:val="18"/>
    </w:rPr>
  </w:style>
  <w:style w:type="paragraph" w:styleId="9">
    <w:name w:val="Normal (Web)"/>
    <w:basedOn w:val="1"/>
    <w:qFormat/>
    <w:uiPriority w:val="0"/>
    <w:rPr>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Emphasis"/>
    <w:basedOn w:val="12"/>
    <w:qFormat/>
    <w:uiPriority w:val="0"/>
    <w:rPr>
      <w:i/>
    </w:rPr>
  </w:style>
  <w:style w:type="character" w:styleId="14">
    <w:name w:val="Hyperlink"/>
    <w:basedOn w:val="12"/>
    <w:qFormat/>
    <w:uiPriority w:val="0"/>
    <w:rPr>
      <w:color w:val="0000FF"/>
      <w:u w:val="single"/>
    </w:rPr>
  </w:style>
  <w:style w:type="character" w:styleId="15">
    <w:name w:val="footnote reference"/>
    <w:semiHidden/>
    <w:qFormat/>
    <w:uiPriority w:val="0"/>
    <w:rPr>
      <w:rFonts w:ascii="宋体" w:hAnsi="宋体" w:eastAsia="宋体" w:cs="Times New Roman"/>
      <w:spacing w:val="0"/>
      <w:sz w:val="18"/>
      <w:vertAlign w:val="superscript"/>
    </w:rPr>
  </w:style>
  <w:style w:type="paragraph" w:customStyle="1" w:styleId="16">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7">
    <w:name w:val="标准文件_术语条一"/>
    <w:basedOn w:val="18"/>
    <w:next w:val="16"/>
    <w:qFormat/>
    <w:uiPriority w:val="0"/>
  </w:style>
  <w:style w:type="paragraph" w:customStyle="1" w:styleId="18">
    <w:name w:val="标准文件_一级无标题"/>
    <w:basedOn w:val="19"/>
    <w:qFormat/>
    <w:uiPriority w:val="0"/>
    <w:pPr>
      <w:spacing w:before="0" w:beforeLines="0" w:after="0" w:afterLines="0"/>
      <w:outlineLvl w:val="9"/>
    </w:pPr>
    <w:rPr>
      <w:rFonts w:ascii="宋体" w:eastAsia="宋体"/>
    </w:rPr>
  </w:style>
  <w:style w:type="paragraph" w:customStyle="1" w:styleId="19">
    <w:name w:val="标准文件_一级条标题"/>
    <w:basedOn w:val="20"/>
    <w:next w:val="16"/>
    <w:qFormat/>
    <w:uiPriority w:val="0"/>
    <w:pPr>
      <w:numPr>
        <w:ilvl w:val="2"/>
      </w:numPr>
      <w:spacing w:before="50" w:beforeLines="50" w:after="50" w:afterLines="50"/>
      <w:outlineLvl w:val="1"/>
    </w:pPr>
  </w:style>
  <w:style w:type="paragraph" w:customStyle="1" w:styleId="20">
    <w:name w:val="标准文件_章标题"/>
    <w:next w:val="16"/>
    <w:qFormat/>
    <w:uiPriority w:val="0"/>
    <w:pPr>
      <w:numPr>
        <w:ilvl w:val="1"/>
        <w:numId w:val="1"/>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21">
    <w:name w:val="标准文件_二级条标题"/>
    <w:next w:val="16"/>
    <w:qFormat/>
    <w:uiPriority w:val="0"/>
    <w:pPr>
      <w:widowControl w:val="0"/>
      <w:numPr>
        <w:ilvl w:val="3"/>
        <w:numId w:val="1"/>
      </w:numPr>
      <w:spacing w:before="50" w:beforeLines="50" w:after="50" w:afterLines="50"/>
      <w:jc w:val="both"/>
      <w:outlineLvl w:val="2"/>
    </w:pPr>
    <w:rPr>
      <w:rFonts w:ascii="黑体" w:hAnsi="Times New Roman" w:eastAsia="黑体" w:cs="Times New Roman"/>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6929</Words>
  <Characters>7207</Characters>
  <Lines>0</Lines>
  <Paragraphs>0</Paragraphs>
  <TotalTime>0</TotalTime>
  <ScaleCrop>false</ScaleCrop>
  <LinksUpToDate>false</LinksUpToDate>
  <CharactersWithSpaces>7271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2023-04-13T02:30:00Z</dcterms:created>
  <dc:creator>金蕾</dc:creator>
  <cp:lastModifiedBy>嘻嘻嘻嘻哈</cp:lastModifiedBy>
  <dcterms:modified xsi:type="dcterms:W3CDTF">2023-11-15T08:11:40Z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59C0473550C746229ED64F18990E2AC1_13</vt:lpwstr>
  </property>
</Properties>
</file>