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843" w:firstLineChars="300"/>
      </w:pPr>
      <w:r>
        <w:rPr>
          <w:rFonts w:hint="eastAsia"/>
          <w:lang w:val="en-US" w:eastAsia="zh-CN"/>
        </w:rPr>
        <w:t>附件</w:t>
      </w:r>
      <w:r>
        <w:t xml:space="preserve"> 1：中国物流与采购联合会医药物流分会会员级别及服务内容</w:t>
      </w:r>
    </w:p>
    <w:tbl>
      <w:tblPr>
        <w:tblStyle w:val="5"/>
        <w:tblpPr w:leftFromText="180" w:rightFromText="180" w:vertAnchor="text" w:horzAnchor="page" w:tblpX="999" w:tblpY="21"/>
        <w:tblOverlap w:val="never"/>
        <w:tblW w:w="1004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7870"/>
        <w:gridCol w:w="127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899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 w:line="216" w:lineRule="auto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pacing w:val="-1"/>
                <w:w w:val="95"/>
                <w:sz w:val="28"/>
                <w:szCs w:val="28"/>
              </w:rPr>
              <w:t>会员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4" w:line="96" w:lineRule="auto"/>
              <w:jc w:val="center"/>
              <w:textAlignment w:val="auto"/>
              <w:rPr>
                <w:b/>
                <w:sz w:val="28"/>
              </w:rPr>
            </w:pPr>
            <w:r>
              <w:rPr>
                <w:b/>
                <w:spacing w:val="-1"/>
                <w:w w:val="95"/>
                <w:sz w:val="28"/>
                <w:szCs w:val="28"/>
              </w:rPr>
              <w:t>级别</w:t>
            </w:r>
          </w:p>
        </w:tc>
        <w:tc>
          <w:tcPr>
            <w:tcW w:w="7870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192" w:lineRule="auto"/>
              <w:textAlignment w:val="auto"/>
              <w:rPr>
                <w:rFonts w:ascii="宋体"/>
                <w:b/>
                <w:sz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92" w:lineRule="auto"/>
              <w:ind w:right="3323" w:firstLine="281" w:firstLineChars="100"/>
              <w:jc w:val="both"/>
              <w:textAlignment w:val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 xml:space="preserve">                 </w:t>
            </w:r>
            <w:r>
              <w:rPr>
                <w:b/>
                <w:sz w:val="28"/>
              </w:rPr>
              <w:t>服务</w:t>
            </w:r>
            <w:r>
              <w:rPr>
                <w:rFonts w:hint="eastAsia"/>
                <w:b/>
                <w:sz w:val="28"/>
                <w:lang w:eastAsia="zh-CN"/>
              </w:rPr>
              <w:t>与内</w:t>
            </w:r>
            <w:r>
              <w:rPr>
                <w:b/>
                <w:sz w:val="28"/>
              </w:rPr>
              <w:t>容</w:t>
            </w:r>
          </w:p>
        </w:tc>
        <w:tc>
          <w:tcPr>
            <w:tcW w:w="1277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 w:line="240" w:lineRule="auto"/>
              <w:ind w:right="357" w:firstLine="281" w:firstLineChars="100"/>
              <w:jc w:val="both"/>
              <w:textAlignment w:val="auto"/>
              <w:rPr>
                <w:b/>
                <w:sz w:val="28"/>
              </w:rPr>
            </w:pPr>
            <w:r>
              <w:rPr>
                <w:b/>
                <w:sz w:val="28"/>
              </w:rPr>
              <w:t>会费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4" w:line="96" w:lineRule="auto"/>
              <w:ind w:left="11" w:right="210"/>
              <w:jc w:val="distribute"/>
              <w:textAlignment w:val="auto"/>
              <w:rPr>
                <w:b/>
                <w:sz w:val="28"/>
              </w:rPr>
            </w:pPr>
            <w:r>
              <w:rPr>
                <w:b/>
                <w:sz w:val="28"/>
              </w:rPr>
              <w:t>（RMB）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</w:trPr>
        <w:tc>
          <w:tcPr>
            <w:tcW w:w="899" w:type="dxa"/>
            <w:vMerge w:val="restart"/>
          </w:tcPr>
          <w:p>
            <w:pPr>
              <w:pStyle w:val="10"/>
              <w:spacing w:line="340" w:lineRule="auto"/>
              <w:ind w:left="311" w:right="274"/>
              <w:jc w:val="center"/>
              <w:rPr>
                <w:b/>
                <w:sz w:val="28"/>
              </w:rPr>
            </w:pPr>
          </w:p>
          <w:p>
            <w:pPr>
              <w:pStyle w:val="10"/>
              <w:spacing w:line="340" w:lineRule="auto"/>
              <w:ind w:left="311" w:right="274"/>
              <w:jc w:val="center"/>
              <w:rPr>
                <w:b/>
                <w:sz w:val="28"/>
              </w:rPr>
            </w:pPr>
          </w:p>
          <w:p>
            <w:pPr>
              <w:pStyle w:val="10"/>
              <w:spacing w:line="340" w:lineRule="auto"/>
              <w:ind w:left="311" w:right="274"/>
              <w:jc w:val="center"/>
              <w:rPr>
                <w:b/>
                <w:sz w:val="28"/>
              </w:rPr>
            </w:pPr>
          </w:p>
          <w:p>
            <w:pPr>
              <w:pStyle w:val="10"/>
              <w:spacing w:line="340" w:lineRule="auto"/>
              <w:ind w:left="311" w:right="274"/>
              <w:jc w:val="center"/>
              <w:rPr>
                <w:b/>
                <w:sz w:val="28"/>
              </w:rPr>
            </w:pPr>
          </w:p>
          <w:p>
            <w:pPr>
              <w:pStyle w:val="10"/>
              <w:spacing w:line="340" w:lineRule="auto"/>
              <w:ind w:left="311" w:right="274"/>
              <w:jc w:val="center"/>
              <w:rPr>
                <w:b/>
                <w:sz w:val="28"/>
              </w:rPr>
            </w:pPr>
          </w:p>
          <w:p>
            <w:pPr>
              <w:pStyle w:val="10"/>
              <w:spacing w:line="340" w:lineRule="auto"/>
              <w:ind w:left="311" w:right="274"/>
              <w:jc w:val="center"/>
              <w:rPr>
                <w:b/>
                <w:sz w:val="28"/>
              </w:rPr>
            </w:pPr>
          </w:p>
          <w:p>
            <w:pPr>
              <w:pStyle w:val="10"/>
              <w:spacing w:line="340" w:lineRule="auto"/>
              <w:ind w:left="311" w:right="274"/>
              <w:jc w:val="center"/>
              <w:rPr>
                <w:b/>
                <w:sz w:val="28"/>
              </w:rPr>
            </w:pPr>
          </w:p>
          <w:p>
            <w:pPr>
              <w:pStyle w:val="10"/>
              <w:spacing w:line="340" w:lineRule="auto"/>
              <w:ind w:left="311" w:right="274"/>
              <w:jc w:val="center"/>
              <w:rPr>
                <w:b/>
                <w:sz w:val="28"/>
              </w:rPr>
            </w:pPr>
          </w:p>
          <w:p>
            <w:pPr>
              <w:pStyle w:val="10"/>
              <w:spacing w:line="340" w:lineRule="auto"/>
              <w:ind w:left="311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副会长单位</w:t>
            </w:r>
          </w:p>
        </w:tc>
        <w:tc>
          <w:tcPr>
            <w:tcW w:w="7870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18"/>
                <w:lang w:val="en-US" w:eastAsia="zh-CN"/>
              </w:rPr>
              <w:t>一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18"/>
                <w:lang w:val="en-US" w:eastAsia="zh-CN"/>
              </w:rPr>
              <w:t>入会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18"/>
              </w:rPr>
              <w:t>条件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1.自愿加入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2.公司成立满两年，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营业额达到1亿以上或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成为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其所属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领域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前50强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3.加入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常务理事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会员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满一年后可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提出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申请，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在理事代表大会或会员代表大会上表决通过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符合相关法律法规，合法注册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经营的企业，无行业不良影响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textAlignment w:val="auto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5.有意愿积极参与协会组织开展的各项工作。</w:t>
            </w:r>
          </w:p>
        </w:tc>
        <w:tc>
          <w:tcPr>
            <w:tcW w:w="1277" w:type="dxa"/>
            <w:vMerge w:val="restart"/>
          </w:tcPr>
          <w:p>
            <w:pPr>
              <w:pStyle w:val="10"/>
              <w:spacing w:before="172"/>
              <w:ind w:left="28"/>
              <w:rPr>
                <w:b/>
                <w:sz w:val="28"/>
              </w:rPr>
            </w:pPr>
          </w:p>
          <w:p>
            <w:pPr>
              <w:pStyle w:val="10"/>
              <w:spacing w:before="172"/>
              <w:ind w:left="28"/>
              <w:rPr>
                <w:b/>
                <w:sz w:val="28"/>
              </w:rPr>
            </w:pPr>
          </w:p>
          <w:p>
            <w:pPr>
              <w:pStyle w:val="10"/>
              <w:spacing w:before="172"/>
              <w:ind w:left="28"/>
              <w:rPr>
                <w:b/>
                <w:sz w:val="28"/>
              </w:rPr>
            </w:pPr>
          </w:p>
          <w:p>
            <w:pPr>
              <w:pStyle w:val="10"/>
              <w:spacing w:before="172"/>
              <w:ind w:left="28"/>
              <w:rPr>
                <w:b/>
                <w:sz w:val="28"/>
              </w:rPr>
            </w:pPr>
          </w:p>
          <w:p>
            <w:pPr>
              <w:pStyle w:val="10"/>
              <w:spacing w:before="172"/>
              <w:ind w:left="28"/>
              <w:rPr>
                <w:b/>
                <w:sz w:val="28"/>
              </w:rPr>
            </w:pPr>
          </w:p>
          <w:p>
            <w:pPr>
              <w:pStyle w:val="10"/>
              <w:spacing w:before="172"/>
              <w:ind w:left="28"/>
              <w:rPr>
                <w:b/>
                <w:sz w:val="28"/>
              </w:rPr>
            </w:pPr>
          </w:p>
          <w:p>
            <w:pPr>
              <w:pStyle w:val="10"/>
              <w:spacing w:before="172"/>
              <w:ind w:left="28"/>
              <w:rPr>
                <w:b/>
                <w:sz w:val="28"/>
              </w:rPr>
            </w:pPr>
          </w:p>
          <w:p>
            <w:pPr>
              <w:pStyle w:val="10"/>
              <w:spacing w:before="172"/>
              <w:ind w:left="28"/>
              <w:rPr>
                <w:b/>
                <w:sz w:val="28"/>
              </w:rPr>
            </w:pPr>
          </w:p>
          <w:p>
            <w:pPr>
              <w:pStyle w:val="10"/>
              <w:spacing w:before="172"/>
              <w:ind w:left="28"/>
              <w:rPr>
                <w:b/>
                <w:sz w:val="28"/>
              </w:rPr>
            </w:pPr>
          </w:p>
          <w:p>
            <w:pPr>
              <w:pStyle w:val="10"/>
              <w:spacing w:before="172"/>
              <w:ind w:left="28"/>
              <w:rPr>
                <w:b/>
                <w:sz w:val="28"/>
              </w:rPr>
            </w:pPr>
            <w:r>
              <w:rPr>
                <w:b/>
                <w:sz w:val="28"/>
              </w:rPr>
              <w:t>20，000/</w:t>
            </w:r>
          </w:p>
          <w:p>
            <w:pPr>
              <w:pStyle w:val="10"/>
              <w:spacing w:before="150"/>
              <w:ind w:left="2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年</w:t>
            </w:r>
          </w:p>
          <w:p>
            <w:pPr>
              <w:pStyle w:val="10"/>
              <w:ind w:left="-152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1" w:hRule="atLeast"/>
        </w:trPr>
        <w:tc>
          <w:tcPr>
            <w:tcW w:w="899" w:type="dxa"/>
            <w:vMerge w:val="continue"/>
          </w:tcPr>
          <w:p>
            <w:pPr>
              <w:pStyle w:val="10"/>
              <w:spacing w:line="340" w:lineRule="auto"/>
              <w:ind w:left="311" w:right="274"/>
              <w:jc w:val="center"/>
              <w:rPr>
                <w:b/>
                <w:sz w:val="28"/>
              </w:rPr>
            </w:pPr>
          </w:p>
        </w:tc>
        <w:tc>
          <w:tcPr>
            <w:tcW w:w="7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b/>
                <w:bCs/>
                <w:color w:val="auto"/>
                <w:sz w:val="22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18"/>
                <w:lang w:val="en-US" w:eastAsia="zh-CN"/>
              </w:rPr>
              <w:t>（二）享受的权益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协会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每年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就行业动态、企业产品发布、重大资讯、企业观点等采访一次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参与制定协会年度工作计划及指导协会日常工作开展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协会对于行业的研究形成报告定期发送给副会长单位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jc w:val="left"/>
              <w:textAlignment w:val="auto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颁发中国物流与采购联合会医药物流分会副会长单位铭牌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jc w:val="left"/>
              <w:textAlignment w:val="auto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颁发中国物流与采购联合会医药物流分会副会长个人证书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jc w:val="left"/>
              <w:textAlignment w:val="auto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参与会长办公会共同研究决定医药物流分会发展方向，任期满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有优先选举权和被选举权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jc w:val="left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同等情况下副会长单位拥有医药物流分会相关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的优先参与权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jc w:val="left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在医药物流分会官网首页设立图片广告，与企业网站建立链接（12 个月）同时在首页重点推荐栏目对副会长单位进行重点推荐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医药物流分会官方微信平台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在会员期内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发布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企业相关新闻4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次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在医药物流分会官方网站中发布软文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（内容符合相关法律法规）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  <w:t>;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" w:line="216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仿宋" w:hAnsi="仿宋" w:eastAsia="仿宋" w:cs="仿宋"/>
                <w:color w:val="auto"/>
                <w:spacing w:val="-15"/>
                <w:sz w:val="24"/>
                <w:szCs w:val="24"/>
              </w:rPr>
              <w:t>副会长本人参加分会相关品牌会议，全程享受</w:t>
            </w:r>
            <w:r>
              <w:rPr>
                <w:rFonts w:hint="eastAsia" w:ascii="仿宋" w:hAnsi="仿宋" w:eastAsia="仿宋" w:cs="仿宋"/>
                <w:color w:val="auto"/>
                <w:spacing w:val="-14"/>
                <w:sz w:val="24"/>
                <w:szCs w:val="24"/>
              </w:rPr>
              <w:t>VIP待遇</w:t>
            </w:r>
            <w:r>
              <w:rPr>
                <w:rFonts w:hint="default" w:ascii="仿宋" w:hAnsi="仿宋" w:eastAsia="仿宋" w:cs="仿宋"/>
                <w:color w:val="auto"/>
                <w:spacing w:val="-14"/>
                <w:sz w:val="24"/>
                <w:szCs w:val="24"/>
                <w:lang w:val="en-US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12.每年可获得3本医药物流分会当年出版的《中国医药物流行业发展报告》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jc w:val="left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13.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可在医药物流分会当年出版的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《中国医药物流行业发展报告》发布案例一篇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14.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加入分会会员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及副会长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微信交流群，享受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名代表入群资格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副会长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单位享有参与医药物流分会召开的理事代表大会的权益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每月享受一次专属会员服务，获得当月医药行业简报讯息等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17.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会员期内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享有4人次免费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参加协会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举办的品牌会议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名额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限医药研发、生产、批发、零售、物流企业及医疗机构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）。</w:t>
            </w:r>
          </w:p>
        </w:tc>
        <w:tc>
          <w:tcPr>
            <w:tcW w:w="1277" w:type="dxa"/>
            <w:vMerge w:val="continue"/>
          </w:tcPr>
          <w:p>
            <w:pPr>
              <w:pStyle w:val="10"/>
              <w:ind w:left="-152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899" w:type="dxa"/>
            <w:vMerge w:val="continue"/>
          </w:tcPr>
          <w:p>
            <w:pPr>
              <w:pStyle w:val="10"/>
              <w:spacing w:line="340" w:lineRule="auto"/>
              <w:ind w:left="311" w:right="274"/>
              <w:jc w:val="center"/>
              <w:rPr>
                <w:b/>
                <w:sz w:val="28"/>
              </w:rPr>
            </w:pPr>
          </w:p>
        </w:tc>
        <w:tc>
          <w:tcPr>
            <w:tcW w:w="7870" w:type="dxa"/>
          </w:tcPr>
          <w:p>
            <w:pPr>
              <w:numPr>
                <w:ilvl w:val="-1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（三）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18"/>
                <w:lang w:val="en-US" w:eastAsia="zh-CN"/>
              </w:rPr>
              <w:t>应尽的的义务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参与对口相关标准的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制定，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积极配合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会完成行业调研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数据采集等各项工作</w:t>
            </w: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jc w:val="left"/>
              <w:textAlignment w:val="auto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2.积极参与协会组织的各项活动，并在活动中承担部分工作（如：会议主持、巡展等）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应积极参与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医药物流分会组织的研讨会、沙龙活动等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并提出对行业内有建设性的意见</w:t>
            </w: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全年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最少在一次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品牌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大会上做为支持单位参与</w:t>
            </w: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5.按时、按规缴纳会费。</w:t>
            </w:r>
          </w:p>
        </w:tc>
        <w:tc>
          <w:tcPr>
            <w:tcW w:w="1277" w:type="dxa"/>
            <w:vMerge w:val="continue"/>
          </w:tcPr>
          <w:p>
            <w:pPr>
              <w:pStyle w:val="10"/>
              <w:ind w:left="-152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899" w:type="dxa"/>
            <w:vMerge w:val="continue"/>
          </w:tcPr>
          <w:p>
            <w:pPr>
              <w:pStyle w:val="10"/>
              <w:spacing w:line="340" w:lineRule="auto"/>
              <w:ind w:left="311" w:right="274"/>
              <w:jc w:val="center"/>
              <w:rPr>
                <w:b/>
                <w:sz w:val="28"/>
              </w:rPr>
            </w:pPr>
          </w:p>
        </w:tc>
        <w:tc>
          <w:tcPr>
            <w:tcW w:w="7870" w:type="dxa"/>
          </w:tcPr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（四）退会条件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1.自愿退出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2.符合条件升入更高级别会员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3.在一个会员期内未参加协会组织的任何活动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16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4.连续两次未参加全体代表大会（理事代表大会或会员代表大会）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5.未按时、按规缴纳会费。</w:t>
            </w:r>
          </w:p>
        </w:tc>
        <w:tc>
          <w:tcPr>
            <w:tcW w:w="1277" w:type="dxa"/>
            <w:vMerge w:val="continue"/>
          </w:tcPr>
          <w:p>
            <w:pPr>
              <w:pStyle w:val="10"/>
              <w:ind w:left="-152"/>
              <w:rPr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044" w:tblpY="242"/>
        <w:tblOverlap w:val="never"/>
        <w:tblW w:w="1005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7870"/>
        <w:gridCol w:w="127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906" w:type="dxa"/>
            <w:vMerge w:val="restart"/>
          </w:tcPr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line="340" w:lineRule="auto"/>
              <w:ind w:left="318" w:right="274"/>
              <w:jc w:val="both"/>
              <w:rPr>
                <w:b/>
                <w:sz w:val="28"/>
              </w:rPr>
            </w:pPr>
          </w:p>
          <w:p>
            <w:pPr>
              <w:pStyle w:val="10"/>
              <w:spacing w:line="340" w:lineRule="auto"/>
              <w:ind w:left="318" w:right="274"/>
              <w:jc w:val="both"/>
              <w:rPr>
                <w:b/>
                <w:sz w:val="28"/>
              </w:rPr>
            </w:pPr>
          </w:p>
          <w:p>
            <w:pPr>
              <w:pStyle w:val="10"/>
              <w:spacing w:line="340" w:lineRule="auto"/>
              <w:ind w:left="318" w:right="274"/>
              <w:jc w:val="both"/>
              <w:rPr>
                <w:b/>
                <w:sz w:val="28"/>
              </w:rPr>
            </w:pPr>
          </w:p>
          <w:p>
            <w:pPr>
              <w:pStyle w:val="10"/>
              <w:spacing w:line="340" w:lineRule="auto"/>
              <w:ind w:left="318" w:right="274"/>
              <w:jc w:val="both"/>
              <w:rPr>
                <w:b/>
                <w:sz w:val="28"/>
              </w:rPr>
            </w:pPr>
          </w:p>
          <w:p>
            <w:pPr>
              <w:pStyle w:val="10"/>
              <w:spacing w:line="340" w:lineRule="auto"/>
              <w:ind w:left="318" w:right="274"/>
              <w:jc w:val="both"/>
              <w:rPr>
                <w:b/>
                <w:sz w:val="28"/>
              </w:rPr>
            </w:pPr>
          </w:p>
          <w:p>
            <w:pPr>
              <w:pStyle w:val="10"/>
              <w:spacing w:line="340" w:lineRule="auto"/>
              <w:ind w:left="318" w:right="27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常务理事单位</w:t>
            </w:r>
          </w:p>
        </w:tc>
        <w:tc>
          <w:tcPr>
            <w:tcW w:w="7870" w:type="dxa"/>
          </w:tcPr>
          <w:p>
            <w:pPr>
              <w:numPr>
                <w:ilvl w:val="-1"/>
                <w:numId w:val="0"/>
              </w:numPr>
              <w:jc w:val="left"/>
              <w:rPr>
                <w:rFonts w:hint="eastAsia" w:ascii="仿宋" w:hAnsi="仿宋" w:eastAsia="仿宋"/>
                <w:sz w:val="22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18"/>
                <w:lang w:val="en-US" w:eastAsia="zh-CN"/>
              </w:rPr>
              <w:t>（一）入会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18"/>
              </w:rPr>
              <w:t>条件</w:t>
            </w:r>
          </w:p>
          <w:p>
            <w:pPr>
              <w:numPr>
                <w:ilvl w:val="-1"/>
                <w:numId w:val="0"/>
              </w:num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1.自愿加入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;</w:t>
            </w:r>
          </w:p>
          <w:p>
            <w:pPr>
              <w:numPr>
                <w:ilvl w:val="-1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2.企业成立满1年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-1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符合相关法律法规，合法注册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经营的企业，无行业不良影响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-1"/>
                <w:numId w:val="0"/>
              </w:numPr>
              <w:jc w:val="left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4.有意愿积极参与医药物流分会组织的各项工作。</w:t>
            </w:r>
          </w:p>
        </w:tc>
        <w:tc>
          <w:tcPr>
            <w:tcW w:w="1277" w:type="dxa"/>
            <w:vMerge w:val="restart"/>
          </w:tcPr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spacing w:before="237"/>
              <w:ind w:left="28"/>
              <w:rPr>
                <w:b/>
                <w:sz w:val="28"/>
              </w:rPr>
            </w:pPr>
          </w:p>
          <w:p>
            <w:pPr>
              <w:pStyle w:val="10"/>
              <w:spacing w:before="237"/>
              <w:ind w:left="28"/>
              <w:rPr>
                <w:b/>
                <w:sz w:val="28"/>
              </w:rPr>
            </w:pPr>
          </w:p>
          <w:p>
            <w:pPr>
              <w:pStyle w:val="10"/>
              <w:spacing w:before="237"/>
              <w:rPr>
                <w:b/>
                <w:sz w:val="28"/>
              </w:rPr>
            </w:pPr>
          </w:p>
          <w:p>
            <w:pPr>
              <w:pStyle w:val="10"/>
              <w:spacing w:before="237"/>
              <w:rPr>
                <w:b/>
                <w:sz w:val="28"/>
              </w:rPr>
            </w:pPr>
          </w:p>
          <w:p>
            <w:pPr>
              <w:pStyle w:val="10"/>
              <w:spacing w:before="237"/>
              <w:rPr>
                <w:b/>
                <w:sz w:val="28"/>
              </w:rPr>
            </w:pPr>
          </w:p>
          <w:p>
            <w:pPr>
              <w:pStyle w:val="10"/>
              <w:spacing w:before="237"/>
              <w:rPr>
                <w:b/>
                <w:sz w:val="28"/>
              </w:rPr>
            </w:pPr>
            <w:r>
              <w:rPr>
                <w:b/>
                <w:sz w:val="28"/>
              </w:rPr>
              <w:t>8000/年</w:t>
            </w:r>
          </w:p>
          <w:p>
            <w:pPr>
              <w:pStyle w:val="10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10"/>
              <w:ind w:left="-152"/>
              <w:rPr>
                <w:sz w:val="24"/>
              </w:rPr>
            </w:pPr>
            <w:r>
              <w:rPr>
                <w:sz w:val="24"/>
              </w:rPr>
              <w:t>，</w:t>
            </w: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213"/>
              <w:ind w:left="-152"/>
              <w:rPr>
                <w:sz w:val="24"/>
              </w:rPr>
            </w:pPr>
            <w:r>
              <w:rPr>
                <w:sz w:val="24"/>
              </w:rPr>
              <w:t>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1" w:hRule="atLeast"/>
        </w:trPr>
        <w:tc>
          <w:tcPr>
            <w:tcW w:w="906" w:type="dxa"/>
            <w:vMerge w:val="continue"/>
          </w:tcPr>
          <w:p>
            <w:pPr>
              <w:pStyle w:val="10"/>
              <w:spacing w:line="340" w:lineRule="auto"/>
              <w:ind w:left="318" w:right="274"/>
              <w:jc w:val="both"/>
              <w:rPr>
                <w:b/>
                <w:sz w:val="28"/>
              </w:rPr>
            </w:pPr>
          </w:p>
        </w:tc>
        <w:tc>
          <w:tcPr>
            <w:tcW w:w="7870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/>
                <w:b/>
                <w:bCs/>
                <w:color w:val="auto"/>
                <w:sz w:val="22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18"/>
                <w:lang w:val="en-US" w:eastAsia="zh-CN"/>
              </w:rPr>
              <w:t>（二）享受的权益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颁发中国物流与采购联合会医药物流分会常务理事单位铭牌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颁发中国物流与采购联合会医药物流分会常务理事个人证书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参与理事会共同研究决定医药物流分会发展方向，任期满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后享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有优先选举权和被选举权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参加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医药物流分会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所有商务活动均享受会员优惠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医药物流分会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官网首页设立图片广告，与企业网站建立链接（6 个月），同时在首页重点推荐栏目对常务理事单位进行重点推荐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医药物流分会官方微信平台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在会员期内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为常务理事单位发布企业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重大新闻3次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-1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在医药物流分会官方网站中发布软文4 次（内容符合相关法律法规）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spacing w:line="240" w:lineRule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医药物流分会将为常务理事单位提供部分行业数据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行业调研报告，以供企业进行参考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spacing w:line="240" w:lineRule="auto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可免费参加协会针对会员组织的公益培训活动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10.每年可获得2本医药物流分会当年出版的《中国医药物流行业发展报告》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spacing w:line="240" w:lineRule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每月享受1次专属会员服务，获得当月医药行业简报讯息等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12.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邀加入分会会员微信交流群，享受1名代表入群资格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13.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享有参与医药物流分会召开的理事代表大会的权益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14.会员期内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享有3人次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免费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参加协会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举办的品牌会议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名额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限医药研发、生产、批发、零售、物流企业及医疗机构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）。</w:t>
            </w:r>
          </w:p>
        </w:tc>
        <w:tc>
          <w:tcPr>
            <w:tcW w:w="1277" w:type="dxa"/>
            <w:vMerge w:val="continue"/>
          </w:tcPr>
          <w:p>
            <w:pPr>
              <w:pStyle w:val="10"/>
              <w:spacing w:before="213"/>
              <w:ind w:left="-152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 w:hRule="atLeast"/>
        </w:trPr>
        <w:tc>
          <w:tcPr>
            <w:tcW w:w="906" w:type="dxa"/>
            <w:vMerge w:val="continue"/>
          </w:tcPr>
          <w:p>
            <w:pPr>
              <w:pStyle w:val="10"/>
              <w:spacing w:line="340" w:lineRule="auto"/>
              <w:ind w:left="318" w:right="274"/>
              <w:jc w:val="both"/>
              <w:rPr>
                <w:b/>
                <w:sz w:val="28"/>
              </w:rPr>
            </w:pPr>
          </w:p>
        </w:tc>
        <w:tc>
          <w:tcPr>
            <w:tcW w:w="7870" w:type="dxa"/>
          </w:tcPr>
          <w:p>
            <w:pPr>
              <w:numPr>
                <w:ilvl w:val="-1"/>
                <w:numId w:val="0"/>
              </w:numPr>
              <w:rPr>
                <w:rFonts w:ascii="仿宋" w:hAnsi="仿宋" w:eastAsia="仿宋"/>
                <w:b/>
                <w:bCs/>
                <w:sz w:val="22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18"/>
                <w:lang w:val="en-US" w:eastAsia="zh-CN"/>
              </w:rPr>
              <w:t>（三）应尽的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18"/>
              </w:rPr>
              <w:t>义务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参与对口相关标准的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制定，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积极配合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会完成行业调研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数据采集等各项工作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-1"/>
                <w:numId w:val="0"/>
              </w:num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每年至少参加协会行业交流活动两次，企业理事负责人或代表参加每年一次会员理事会</w:t>
            </w: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;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应积极参与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医药物流分会组织的研讨会、沙龙活动等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并提出对行业内有建设性的意见</w:t>
            </w: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;</w:t>
            </w:r>
          </w:p>
          <w:p>
            <w:pPr>
              <w:pStyle w:val="10"/>
              <w:spacing w:line="305" w:lineRule="exact"/>
              <w:ind w:left="29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4.按时、按规缴纳会费。</w:t>
            </w:r>
          </w:p>
        </w:tc>
        <w:tc>
          <w:tcPr>
            <w:tcW w:w="1277" w:type="dxa"/>
            <w:vMerge w:val="continue"/>
          </w:tcPr>
          <w:p>
            <w:pPr>
              <w:pStyle w:val="10"/>
              <w:spacing w:before="213"/>
              <w:ind w:left="-152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906" w:type="dxa"/>
            <w:vMerge w:val="continue"/>
          </w:tcPr>
          <w:p>
            <w:pPr>
              <w:pStyle w:val="10"/>
              <w:spacing w:line="340" w:lineRule="auto"/>
              <w:ind w:left="318" w:right="274"/>
              <w:jc w:val="both"/>
              <w:rPr>
                <w:b/>
                <w:sz w:val="28"/>
              </w:rPr>
            </w:pPr>
          </w:p>
        </w:tc>
        <w:tc>
          <w:tcPr>
            <w:tcW w:w="7870" w:type="dxa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18"/>
                <w:lang w:val="en-US" w:eastAsia="zh-CN"/>
              </w:rPr>
              <w:t>四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退会条件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1.自愿退出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2.符合条件升入更高级别会员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3.在一个会员期内未参加协会组织的任何活动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4.连续两次未参加全体代表大会（理事代表大会或会员代表大会）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5.未按时、按规缴纳会费。</w:t>
            </w:r>
          </w:p>
          <w:p>
            <w:pPr>
              <w:pStyle w:val="10"/>
              <w:spacing w:line="305" w:lineRule="exact"/>
              <w:ind w:left="29"/>
              <w:rPr>
                <w:sz w:val="24"/>
              </w:rPr>
            </w:pPr>
          </w:p>
        </w:tc>
        <w:tc>
          <w:tcPr>
            <w:tcW w:w="1277" w:type="dxa"/>
            <w:vMerge w:val="continue"/>
          </w:tcPr>
          <w:p>
            <w:pPr>
              <w:pStyle w:val="10"/>
              <w:spacing w:before="213"/>
              <w:ind w:left="-152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906" w:type="dxa"/>
            <w:vMerge w:val="restart"/>
          </w:tcPr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spacing w:before="164" w:line="340" w:lineRule="auto"/>
              <w:ind w:left="318" w:right="274"/>
              <w:jc w:val="both"/>
              <w:rPr>
                <w:b/>
                <w:sz w:val="28"/>
              </w:rPr>
            </w:pPr>
          </w:p>
          <w:p>
            <w:pPr>
              <w:pStyle w:val="10"/>
              <w:spacing w:before="164" w:line="340" w:lineRule="auto"/>
              <w:ind w:left="318" w:right="274"/>
              <w:jc w:val="both"/>
              <w:rPr>
                <w:b/>
                <w:sz w:val="28"/>
              </w:rPr>
            </w:pPr>
          </w:p>
          <w:p>
            <w:pPr>
              <w:pStyle w:val="10"/>
              <w:spacing w:before="164" w:line="340" w:lineRule="auto"/>
              <w:ind w:left="318" w:right="274"/>
              <w:jc w:val="both"/>
              <w:rPr>
                <w:b/>
                <w:sz w:val="28"/>
              </w:rPr>
            </w:pPr>
          </w:p>
          <w:p>
            <w:pPr>
              <w:pStyle w:val="10"/>
              <w:spacing w:before="164" w:line="340" w:lineRule="auto"/>
              <w:ind w:left="318" w:right="274"/>
              <w:jc w:val="both"/>
              <w:rPr>
                <w:b/>
                <w:sz w:val="28"/>
              </w:rPr>
            </w:pPr>
          </w:p>
          <w:p>
            <w:pPr>
              <w:pStyle w:val="10"/>
              <w:spacing w:before="164" w:line="340" w:lineRule="auto"/>
              <w:ind w:left="318" w:right="27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理事单位</w:t>
            </w:r>
          </w:p>
        </w:tc>
        <w:tc>
          <w:tcPr>
            <w:tcW w:w="7870" w:type="dxa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（一）入会条件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1.自愿加入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2.符合相关法律法规，合法注册经营的企业，无行业不良影响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pStyle w:val="10"/>
              <w:spacing w:line="305" w:lineRule="exact"/>
              <w:ind w:left="29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3.有意愿积极参与医药物流分会组织开展的各项工作。</w:t>
            </w:r>
          </w:p>
        </w:tc>
        <w:tc>
          <w:tcPr>
            <w:tcW w:w="1277" w:type="dxa"/>
            <w:vMerge w:val="restart"/>
          </w:tcPr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10"/>
              <w:ind w:left="28"/>
              <w:rPr>
                <w:b/>
                <w:sz w:val="28"/>
              </w:rPr>
            </w:pPr>
          </w:p>
          <w:p>
            <w:pPr>
              <w:pStyle w:val="10"/>
              <w:ind w:left="28"/>
              <w:rPr>
                <w:b/>
                <w:sz w:val="28"/>
              </w:rPr>
            </w:pPr>
          </w:p>
          <w:p>
            <w:pPr>
              <w:pStyle w:val="10"/>
              <w:ind w:left="28"/>
              <w:rPr>
                <w:b/>
                <w:sz w:val="28"/>
              </w:rPr>
            </w:pPr>
          </w:p>
          <w:p>
            <w:pPr>
              <w:pStyle w:val="10"/>
              <w:ind w:left="28"/>
              <w:rPr>
                <w:b/>
                <w:sz w:val="28"/>
              </w:rPr>
            </w:pPr>
          </w:p>
          <w:p>
            <w:pPr>
              <w:pStyle w:val="10"/>
              <w:ind w:left="28"/>
              <w:rPr>
                <w:b/>
                <w:sz w:val="28"/>
              </w:rPr>
            </w:pPr>
          </w:p>
          <w:p>
            <w:pPr>
              <w:pStyle w:val="10"/>
              <w:ind w:left="28"/>
              <w:rPr>
                <w:b/>
                <w:sz w:val="28"/>
              </w:rPr>
            </w:pPr>
          </w:p>
          <w:p>
            <w:pPr>
              <w:pStyle w:val="10"/>
              <w:ind w:left="28"/>
              <w:rPr>
                <w:b/>
                <w:sz w:val="28"/>
              </w:rPr>
            </w:pPr>
          </w:p>
          <w:p>
            <w:pPr>
              <w:pStyle w:val="10"/>
              <w:ind w:left="28"/>
              <w:rPr>
                <w:b/>
                <w:sz w:val="28"/>
              </w:rPr>
            </w:pPr>
            <w:r>
              <w:rPr>
                <w:b/>
                <w:sz w:val="28"/>
              </w:rPr>
              <w:t>6000/年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1" w:hRule="atLeast"/>
        </w:trPr>
        <w:tc>
          <w:tcPr>
            <w:tcW w:w="906" w:type="dxa"/>
            <w:vMerge w:val="continue"/>
          </w:tcPr>
          <w:p>
            <w:pPr>
              <w:pStyle w:val="10"/>
              <w:spacing w:before="164" w:line="340" w:lineRule="auto"/>
              <w:ind w:left="318" w:right="274"/>
              <w:jc w:val="both"/>
              <w:rPr>
                <w:b/>
                <w:sz w:val="28"/>
              </w:rPr>
            </w:pPr>
          </w:p>
        </w:tc>
        <w:tc>
          <w:tcPr>
            <w:tcW w:w="7870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/>
                <w:b/>
                <w:bCs/>
                <w:color w:val="auto"/>
                <w:sz w:val="22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18"/>
                <w:lang w:val="en-US" w:eastAsia="zh-CN"/>
              </w:rPr>
              <w:t>（二）享受的权益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颁发中国物流与采购联合会医药物流分会理事单位铭牌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颁发中国物流与采购联合会医药物流分会理事个人证书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医药物流分会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组织的所有商务活动均享受会员优惠政策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在医药物流分会官网首页设立图片广告与企业网站建立链接（3 个月）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同时在首页重点推荐栏目对理事单位进行重点推荐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5.医药物流分会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官方微信平台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在会员期内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为理事单位发布相关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企业重大新闻2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次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医药物流分会将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为理事单位提供部分行业数据，供企业进行参考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每月享受1次专属会员服务，获得当月医药行业简报讯息等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8.参加每年1次的理事代表大会并对协会工作提出建议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9.每年可获得1本医药物流分会当年出版的《中国医药物流行业发展报告》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邀加入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医药物流分会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会员微信交流群，享受1名代表入群资格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11.享有参与协会召开的理事代表大会的权益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12.会员期内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享有2人次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免费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参加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医药物流分会举办的品牌会议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名额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限医药研发、生产、批发、零售、物流企业及医疗机构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）。</w:t>
            </w:r>
          </w:p>
          <w:p>
            <w:pPr>
              <w:pStyle w:val="10"/>
              <w:spacing w:line="305" w:lineRule="exact"/>
              <w:ind w:left="29"/>
              <w:rPr>
                <w:sz w:val="24"/>
              </w:rPr>
            </w:pPr>
          </w:p>
        </w:tc>
        <w:tc>
          <w:tcPr>
            <w:tcW w:w="1277" w:type="dxa"/>
            <w:vMerge w:val="continue"/>
          </w:tcPr>
          <w:p>
            <w:pPr>
              <w:pStyle w:val="10"/>
              <w:ind w:left="28"/>
              <w:rPr>
                <w:b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</w:trPr>
        <w:tc>
          <w:tcPr>
            <w:tcW w:w="906" w:type="dxa"/>
            <w:vMerge w:val="continue"/>
          </w:tcPr>
          <w:p>
            <w:pPr>
              <w:pStyle w:val="10"/>
              <w:spacing w:before="164" w:line="340" w:lineRule="auto"/>
              <w:ind w:left="318" w:right="274"/>
              <w:jc w:val="both"/>
              <w:rPr>
                <w:b/>
                <w:sz w:val="28"/>
              </w:rPr>
            </w:pPr>
          </w:p>
        </w:tc>
        <w:tc>
          <w:tcPr>
            <w:tcW w:w="7870" w:type="dxa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（三）应尽的义务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参与对口相关标准的制定，协助协会完成行业调研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数据采集等各项工作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每年至少参加协会行业交流活动两次，企业理事负责人或代表参加每年一次会员理事会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应积极参与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协会组织的研讨会、沙龙活动等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并提出对行业内有建设性的意见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4.按时、按规缴纳会费。</w:t>
            </w:r>
          </w:p>
        </w:tc>
        <w:tc>
          <w:tcPr>
            <w:tcW w:w="1277" w:type="dxa"/>
            <w:vMerge w:val="continue"/>
          </w:tcPr>
          <w:p>
            <w:pPr>
              <w:pStyle w:val="10"/>
              <w:ind w:left="28"/>
              <w:rPr>
                <w:b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</w:trPr>
        <w:tc>
          <w:tcPr>
            <w:tcW w:w="906" w:type="dxa"/>
            <w:vMerge w:val="continue"/>
          </w:tcPr>
          <w:p>
            <w:pPr>
              <w:pStyle w:val="10"/>
              <w:spacing w:before="164" w:line="340" w:lineRule="auto"/>
              <w:ind w:left="318" w:right="274"/>
              <w:jc w:val="both"/>
              <w:rPr>
                <w:b/>
                <w:sz w:val="28"/>
              </w:rPr>
            </w:pPr>
          </w:p>
        </w:tc>
        <w:tc>
          <w:tcPr>
            <w:tcW w:w="7870" w:type="dxa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（四）退会条件：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1.自愿退出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2.符合条件升入更高级别会员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3.在一个会员期内未参加医药物流分会组织的任何活动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4.连续两次未参加全体代表大会（理事代表大会或会员代表大会）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5.未按时、按规缴纳会费。</w:t>
            </w:r>
          </w:p>
          <w:p>
            <w:pPr>
              <w:pStyle w:val="10"/>
              <w:spacing w:line="305" w:lineRule="exact"/>
              <w:ind w:left="29"/>
              <w:rPr>
                <w:sz w:val="24"/>
              </w:rPr>
            </w:pPr>
          </w:p>
        </w:tc>
        <w:tc>
          <w:tcPr>
            <w:tcW w:w="1277" w:type="dxa"/>
            <w:vMerge w:val="continue"/>
          </w:tcPr>
          <w:p>
            <w:pPr>
              <w:pStyle w:val="10"/>
              <w:ind w:left="28"/>
              <w:rPr>
                <w:b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906" w:type="dxa"/>
            <w:vMerge w:val="restart"/>
          </w:tcPr>
          <w:p>
            <w:pPr>
              <w:pStyle w:val="10"/>
              <w:spacing w:before="164" w:line="340" w:lineRule="auto"/>
              <w:ind w:left="318" w:right="274"/>
              <w:jc w:val="both"/>
              <w:rPr>
                <w:b/>
                <w:sz w:val="28"/>
              </w:rPr>
            </w:pPr>
          </w:p>
          <w:p>
            <w:pPr>
              <w:pStyle w:val="10"/>
              <w:spacing w:before="164" w:line="340" w:lineRule="auto"/>
              <w:ind w:left="318" w:right="274"/>
              <w:jc w:val="both"/>
              <w:rPr>
                <w:b/>
                <w:sz w:val="28"/>
              </w:rPr>
            </w:pPr>
          </w:p>
          <w:p>
            <w:pPr>
              <w:pStyle w:val="10"/>
              <w:spacing w:before="164" w:line="340" w:lineRule="auto"/>
              <w:ind w:left="318" w:right="274"/>
              <w:jc w:val="both"/>
              <w:rPr>
                <w:b/>
                <w:sz w:val="28"/>
              </w:rPr>
            </w:pPr>
          </w:p>
          <w:p>
            <w:pPr>
              <w:pStyle w:val="10"/>
              <w:spacing w:before="164" w:line="340" w:lineRule="auto"/>
              <w:ind w:left="318" w:right="274"/>
              <w:jc w:val="both"/>
              <w:rPr>
                <w:b/>
                <w:sz w:val="28"/>
              </w:rPr>
            </w:pPr>
          </w:p>
          <w:p>
            <w:pPr>
              <w:pStyle w:val="10"/>
              <w:spacing w:before="164" w:line="340" w:lineRule="auto"/>
              <w:ind w:left="318" w:right="274"/>
              <w:jc w:val="both"/>
              <w:rPr>
                <w:b/>
                <w:sz w:val="28"/>
              </w:rPr>
            </w:pPr>
          </w:p>
          <w:p>
            <w:pPr>
              <w:pStyle w:val="10"/>
              <w:spacing w:before="164" w:line="340" w:lineRule="auto"/>
              <w:ind w:left="318" w:right="27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会员单位</w:t>
            </w:r>
          </w:p>
        </w:tc>
        <w:tc>
          <w:tcPr>
            <w:tcW w:w="7870" w:type="dxa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18"/>
                <w:lang w:val="en-US" w:eastAsia="zh-CN"/>
              </w:rPr>
              <w:t>（一）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18"/>
              </w:rPr>
              <w:t>入会条件</w:t>
            </w:r>
          </w:p>
          <w:p>
            <w:pPr>
              <w:jc w:val="left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1.自愿加入;</w:t>
            </w:r>
          </w:p>
          <w:p>
            <w:pPr>
              <w:jc w:val="left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2.符合相关法律法规，合法注册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经营的企业，无行业不良影响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有意愿积极参与医药物流分会组织开展的各项工作。</w:t>
            </w:r>
          </w:p>
          <w:p>
            <w:pPr>
              <w:pStyle w:val="10"/>
              <w:spacing w:line="305" w:lineRule="exact"/>
              <w:ind w:left="29"/>
              <w:rPr>
                <w:sz w:val="24"/>
              </w:rPr>
            </w:pPr>
          </w:p>
        </w:tc>
        <w:tc>
          <w:tcPr>
            <w:tcW w:w="1277" w:type="dxa"/>
            <w:vMerge w:val="restart"/>
          </w:tcPr>
          <w:p>
            <w:pPr>
              <w:pStyle w:val="10"/>
              <w:ind w:left="28"/>
              <w:rPr>
                <w:b/>
                <w:sz w:val="28"/>
              </w:rPr>
            </w:pPr>
          </w:p>
          <w:p>
            <w:pPr>
              <w:pStyle w:val="10"/>
              <w:ind w:left="28"/>
              <w:rPr>
                <w:b/>
                <w:sz w:val="28"/>
              </w:rPr>
            </w:pPr>
          </w:p>
          <w:p>
            <w:pPr>
              <w:pStyle w:val="10"/>
              <w:ind w:left="28"/>
              <w:rPr>
                <w:b/>
                <w:sz w:val="28"/>
              </w:rPr>
            </w:pPr>
          </w:p>
          <w:p>
            <w:pPr>
              <w:pStyle w:val="10"/>
              <w:ind w:left="28"/>
              <w:rPr>
                <w:b/>
                <w:sz w:val="28"/>
              </w:rPr>
            </w:pPr>
          </w:p>
          <w:p>
            <w:pPr>
              <w:pStyle w:val="10"/>
              <w:ind w:left="28"/>
              <w:rPr>
                <w:b/>
                <w:sz w:val="28"/>
              </w:rPr>
            </w:pPr>
          </w:p>
          <w:p>
            <w:pPr>
              <w:pStyle w:val="10"/>
              <w:ind w:left="28"/>
              <w:rPr>
                <w:b/>
                <w:sz w:val="28"/>
              </w:rPr>
            </w:pPr>
          </w:p>
          <w:p>
            <w:pPr>
              <w:pStyle w:val="10"/>
              <w:ind w:left="28"/>
              <w:rPr>
                <w:b/>
                <w:sz w:val="28"/>
              </w:rPr>
            </w:pPr>
          </w:p>
          <w:p>
            <w:pPr>
              <w:pStyle w:val="10"/>
              <w:ind w:left="28"/>
              <w:rPr>
                <w:b/>
                <w:sz w:val="28"/>
              </w:rPr>
            </w:pPr>
          </w:p>
          <w:p>
            <w:pPr>
              <w:pStyle w:val="10"/>
              <w:ind w:left="28"/>
              <w:rPr>
                <w:b/>
                <w:sz w:val="28"/>
              </w:rPr>
            </w:pPr>
          </w:p>
          <w:p>
            <w:pPr>
              <w:pStyle w:val="10"/>
              <w:ind w:left="28"/>
              <w:rPr>
                <w:b/>
                <w:sz w:val="28"/>
              </w:rPr>
            </w:pPr>
          </w:p>
          <w:p>
            <w:pPr>
              <w:pStyle w:val="10"/>
              <w:ind w:left="28"/>
              <w:rPr>
                <w:b/>
                <w:sz w:val="28"/>
              </w:rPr>
            </w:pPr>
          </w:p>
          <w:p>
            <w:pPr>
              <w:pStyle w:val="10"/>
              <w:ind w:left="28"/>
              <w:rPr>
                <w:b/>
                <w:sz w:val="28"/>
              </w:rPr>
            </w:pPr>
          </w:p>
          <w:p>
            <w:pPr>
              <w:pStyle w:val="10"/>
              <w:ind w:left="28"/>
              <w:rPr>
                <w:b/>
                <w:sz w:val="28"/>
              </w:rPr>
            </w:pPr>
            <w:r>
              <w:rPr>
                <w:b/>
                <w:sz w:val="28"/>
              </w:rPr>
              <w:t>4000/年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0" w:hRule="atLeast"/>
        </w:trPr>
        <w:tc>
          <w:tcPr>
            <w:tcW w:w="906" w:type="dxa"/>
            <w:vMerge w:val="continue"/>
          </w:tcPr>
          <w:p>
            <w:pPr>
              <w:pStyle w:val="10"/>
              <w:spacing w:before="164" w:line="340" w:lineRule="auto"/>
              <w:ind w:left="318" w:right="274"/>
              <w:jc w:val="both"/>
              <w:rPr>
                <w:b/>
                <w:sz w:val="28"/>
              </w:rPr>
            </w:pPr>
          </w:p>
        </w:tc>
        <w:tc>
          <w:tcPr>
            <w:tcW w:w="7870" w:type="dxa"/>
          </w:tcPr>
          <w:p>
            <w:pPr>
              <w:jc w:val="left"/>
              <w:rPr>
                <w:rFonts w:hint="default" w:ascii="仿宋" w:hAnsi="仿宋" w:eastAsia="仿宋"/>
                <w:b/>
                <w:bCs/>
                <w:color w:val="auto"/>
                <w:sz w:val="22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18"/>
                <w:lang w:val="en-US" w:eastAsia="zh-CN"/>
              </w:rPr>
              <w:t>（二）享受的权益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  <w:t>颁发中国物流与采购联合会医药物流分会会员单位铭牌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参加分会组织的所有商务活动均享受会员优惠政策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医药物流分会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官网首页设立图片广告与企业网站建立链接（1 个月）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同时在首页重点推荐栏目对会员单位进行重点推荐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4.医药物流分会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官方微信平台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会员期内发布企业重大新闻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次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医药物流分会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为会员单位提供部分行业数据，供企业进行参考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每月享受会员专属服务1次，获得当月医药行业简报讯息等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7.每年可获得1本医药物流分会当年出版的《中国医药物流行业发展报告》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受邀加入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医药物流分会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会员微信交流群，享受1名代表入群资格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9.享有参与医药物流分会召开的全体会员代表大会的权益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10.会员期内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享有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1人次免费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参加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医药物流分会举办的品牌会议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名额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限医药研发、生产、批发、零售、物流企业及医疗机构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）。</w:t>
            </w:r>
          </w:p>
        </w:tc>
        <w:tc>
          <w:tcPr>
            <w:tcW w:w="1277" w:type="dxa"/>
            <w:vMerge w:val="continue"/>
          </w:tcPr>
          <w:p>
            <w:pPr>
              <w:pStyle w:val="10"/>
              <w:ind w:left="28"/>
              <w:rPr>
                <w:b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906" w:type="dxa"/>
            <w:vMerge w:val="continue"/>
          </w:tcPr>
          <w:p>
            <w:pPr>
              <w:pStyle w:val="10"/>
              <w:spacing w:before="164" w:line="340" w:lineRule="auto"/>
              <w:ind w:left="318" w:right="274"/>
              <w:jc w:val="both"/>
              <w:rPr>
                <w:b/>
                <w:sz w:val="28"/>
              </w:rPr>
            </w:pPr>
          </w:p>
        </w:tc>
        <w:tc>
          <w:tcPr>
            <w:tcW w:w="7870" w:type="dxa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（三）应尽的义务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1.每年至少一次参加医药物流分会组织的活动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协助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医药物流分会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完成行业调研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数据采集等各项工作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pStyle w:val="10"/>
              <w:spacing w:line="305" w:lineRule="exact"/>
              <w:ind w:left="29"/>
              <w:rPr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3.按时、按规缴纳会费。</w:t>
            </w:r>
          </w:p>
        </w:tc>
        <w:tc>
          <w:tcPr>
            <w:tcW w:w="1277" w:type="dxa"/>
            <w:vMerge w:val="continue"/>
          </w:tcPr>
          <w:p>
            <w:pPr>
              <w:pStyle w:val="10"/>
              <w:ind w:left="28"/>
              <w:rPr>
                <w:b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906" w:type="dxa"/>
            <w:vMerge w:val="continue"/>
          </w:tcPr>
          <w:p>
            <w:pPr>
              <w:pStyle w:val="10"/>
              <w:spacing w:before="164" w:line="340" w:lineRule="auto"/>
              <w:ind w:left="318" w:right="274"/>
              <w:jc w:val="both"/>
              <w:rPr>
                <w:b/>
                <w:sz w:val="28"/>
              </w:rPr>
            </w:pPr>
          </w:p>
        </w:tc>
        <w:tc>
          <w:tcPr>
            <w:tcW w:w="7870" w:type="dxa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（四）退会条件</w:t>
            </w:r>
          </w:p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1.自愿退出，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2.符合条件升入更高级别会员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3.在一个会员期内未参加至少1次医药物流分会组织的任何活动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jc w:val="left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4.未按时、按规缴纳会费。</w:t>
            </w:r>
          </w:p>
          <w:p>
            <w:pPr>
              <w:pStyle w:val="10"/>
              <w:spacing w:line="305" w:lineRule="exact"/>
              <w:ind w:left="29"/>
              <w:rPr>
                <w:sz w:val="24"/>
              </w:rPr>
            </w:pPr>
          </w:p>
        </w:tc>
        <w:tc>
          <w:tcPr>
            <w:tcW w:w="1277" w:type="dxa"/>
            <w:vMerge w:val="continue"/>
          </w:tcPr>
          <w:p>
            <w:pPr>
              <w:pStyle w:val="10"/>
              <w:ind w:left="28"/>
              <w:rPr>
                <w:b/>
                <w:sz w:val="28"/>
              </w:rPr>
            </w:pPr>
          </w:p>
        </w:tc>
      </w:tr>
    </w:tbl>
    <w:p>
      <w:pPr>
        <w:spacing w:after="0"/>
        <w:rPr>
          <w:sz w:val="24"/>
        </w:rPr>
        <w:sectPr>
          <w:footerReference r:id="rId3" w:type="default"/>
          <w:pgSz w:w="11910" w:h="16840"/>
          <w:pgMar w:top="1580" w:right="600" w:bottom="1180" w:left="720" w:header="0" w:footer="910" w:gutter="0"/>
        </w:sectPr>
      </w:pPr>
      <w:bookmarkStart w:id="0" w:name="_GoBack"/>
      <w:bookmarkEnd w:id="0"/>
    </w:p>
    <w:p>
      <w:pPr>
        <w:spacing w:before="212"/>
        <w:ind w:right="0"/>
        <w:jc w:val="left"/>
        <w:rPr>
          <w:rFonts w:hint="eastAsia" w:ascii="Times New Roman"/>
          <w:sz w:val="20"/>
        </w:rPr>
      </w:pPr>
    </w:p>
    <w:sectPr>
      <w:pgSz w:w="11910" w:h="16840"/>
      <w:pgMar w:top="1580" w:right="600" w:bottom="1100" w:left="720" w:header="0" w:footer="91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5"/>
      </w:rPr>
    </w:pPr>
    <w:r>
      <mc:AlternateContent>
        <mc:Choice Requires="wps">
          <w:drawing>
            <wp:anchor distT="0" distB="0" distL="114300" distR="114300" simplePos="0" relativeHeight="503300096" behindDoc="1" locked="0" layoutInCell="1" allowOverlap="1">
              <wp:simplePos x="0" y="0"/>
              <wp:positionH relativeFrom="page">
                <wp:posOffset>6316345</wp:posOffset>
              </wp:positionH>
              <wp:positionV relativeFrom="page">
                <wp:posOffset>9923145</wp:posOffset>
              </wp:positionV>
              <wp:extent cx="321310" cy="17272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31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18"/>
                            </w:rPr>
                          </w:pPr>
                          <w:r>
                            <w:rPr>
                              <w:rFonts w:ascii="宋体" w:hAnsi="宋体"/>
                              <w:sz w:val="1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97.35pt;margin-top:781.35pt;height:13.6pt;width:25.3pt;mso-position-horizontal-relative:page;mso-position-vertical-relative:page;z-index:-16384;mso-width-relative:page;mso-height-relative:page;" filled="f" stroked="f" coordsize="21600,21600" o:gfxdata="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3/s3wNsAAAAOAQAADwAAAAAA&#10;AAABACAAAAAiAAAAZHJzL2Rvd25yZXYueG1sUEsBAhQAFAAAAAgAh07iQEEaBhW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宋体" w:hAnsi="宋体"/>
                        <w:sz w:val="18"/>
                      </w:rPr>
                    </w:pPr>
                    <w:r>
                      <w:rPr>
                        <w:rFonts w:ascii="宋体" w:hAnsi="宋体"/>
                        <w:sz w:val="1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3141D"/>
    <w:rsid w:val="16131C7C"/>
    <w:rsid w:val="1BC4749F"/>
    <w:rsid w:val="1D08690A"/>
    <w:rsid w:val="25BF2CC0"/>
    <w:rsid w:val="28E30356"/>
    <w:rsid w:val="2D1F4090"/>
    <w:rsid w:val="31616730"/>
    <w:rsid w:val="4149116D"/>
    <w:rsid w:val="442039BE"/>
    <w:rsid w:val="46106ED0"/>
    <w:rsid w:val="47E960F9"/>
    <w:rsid w:val="51C5728C"/>
    <w:rsid w:val="5A441F82"/>
    <w:rsid w:val="613F398D"/>
    <w:rsid w:val="65A54AF2"/>
    <w:rsid w:val="70476BD6"/>
    <w:rsid w:val="788061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466"/>
      <w:outlineLvl w:val="1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62"/>
      <w:ind w:left="1428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201"/>
      <w:ind w:left="1688" w:hanging="421"/>
    </w:pPr>
    <w:rPr>
      <w:rFonts w:ascii="仿宋" w:hAnsi="仿宋" w:eastAsia="仿宋" w:cs="仿宋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4650</Words>
  <Characters>4927</Characters>
  <TotalTime>2</TotalTime>
  <ScaleCrop>false</ScaleCrop>
  <LinksUpToDate>false</LinksUpToDate>
  <CharactersWithSpaces>7336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2019-01-23T05:42:00Z</dcterms:created>
  <dc:creator>Administrator</dc:creator>
  <cp:lastModifiedBy>Yjo-M</cp:lastModifiedBy>
  <dcterms:modified xsi:type="dcterms:W3CDTF">2020-07-23T06:47:32Z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2019-01-23T00:00:00Z</vt:filetime>
  </property>
  <property fmtid="{D5CDD505-2E9C-101B-9397-08002B2CF9AE}" pid="5" name="KSOProductBuildVer">
    <vt:lpwstr>2052-11.1.0.9828</vt:lpwstr>
  </property>
</Properties>
</file>