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附件</w:t>
      </w:r>
    </w:p>
    <w:p>
      <w:pPr>
        <w:ind w:left="420" w:leftChars="133" w:firstLine="632" w:firstLineChars="200"/>
        <w:jc w:val="both"/>
        <w:rPr>
          <w:rFonts w:hint="eastAsia" w:ascii="宋体" w:hAnsi="宋体" w:eastAsia="宋体" w:cs="宋体"/>
          <w:b/>
          <w:bCs/>
          <w:szCs w:val="32"/>
        </w:rPr>
      </w:pPr>
    </w:p>
    <w:p>
      <w:pPr>
        <w:ind w:left="420" w:leftChars="133" w:firstLine="632" w:firstLineChars="200"/>
        <w:jc w:val="both"/>
        <w:rPr>
          <w:rFonts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Cs w:val="32"/>
        </w:rPr>
        <w:t>20</w:t>
      </w:r>
      <w:r>
        <w:rPr>
          <w:rFonts w:hint="default" w:ascii="宋体" w:hAnsi="宋体" w:eastAsia="宋体" w:cs="宋体"/>
          <w:b/>
          <w:bCs/>
          <w:szCs w:val="32"/>
        </w:rPr>
        <w:t>20</w:t>
      </w:r>
      <w:r>
        <w:rPr>
          <w:rFonts w:hint="eastAsia" w:ascii="宋体" w:hAnsi="宋体" w:eastAsia="宋体" w:cs="宋体"/>
          <w:b/>
          <w:bCs/>
          <w:szCs w:val="32"/>
        </w:rPr>
        <w:t>年中国</w:t>
      </w:r>
      <w:r>
        <w:rPr>
          <w:rFonts w:hint="default" w:ascii="宋体" w:hAnsi="宋体" w:eastAsia="宋体" w:cs="宋体"/>
          <w:b/>
          <w:bCs/>
          <w:szCs w:val="32"/>
        </w:rPr>
        <w:t>医药冷链运输</w:t>
      </w:r>
      <w:r>
        <w:rPr>
          <w:rFonts w:hint="eastAsia" w:ascii="宋体" w:hAnsi="宋体" w:eastAsia="宋体" w:cs="宋体"/>
          <w:b/>
          <w:bCs/>
          <w:szCs w:val="32"/>
        </w:rPr>
        <w:t>企业</w:t>
      </w:r>
      <w:r>
        <w:rPr>
          <w:rFonts w:hint="default" w:ascii="宋体" w:hAnsi="宋体" w:eastAsia="宋体" w:cs="宋体"/>
          <w:b/>
          <w:bCs/>
          <w:szCs w:val="32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Cs w:val="32"/>
          <w:lang w:eastAsia="zh-CN"/>
        </w:rPr>
        <w:t>十</w:t>
      </w:r>
      <w:r>
        <w:rPr>
          <w:rFonts w:hint="eastAsia" w:ascii="宋体" w:hAnsi="宋体" w:eastAsia="宋体" w:cs="宋体"/>
          <w:b/>
          <w:bCs/>
          <w:szCs w:val="32"/>
        </w:rPr>
        <w:t>强基本情况调查表</w:t>
      </w:r>
    </w:p>
    <w:p>
      <w:pPr>
        <w:snapToGrid w:val="0"/>
        <w:ind w:left="420" w:leftChars="133"/>
        <w:jc w:val="center"/>
        <w:rPr>
          <w:rFonts w:ascii="Verdana" w:hAnsi="Verdana" w:eastAsia="黑体"/>
          <w:sz w:val="21"/>
          <w:szCs w:val="21"/>
        </w:rPr>
      </w:pPr>
      <w:r>
        <w:rPr>
          <w:rFonts w:ascii="Verdana" w:hAnsi="Verdana" w:eastAsia="黑体"/>
          <w:sz w:val="21"/>
          <w:szCs w:val="21"/>
        </w:rPr>
        <w:t xml:space="preserve">填表日期：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 xml:space="preserve">  年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 xml:space="preserve"> </w:t>
      </w:r>
      <w:r>
        <w:rPr>
          <w:rFonts w:hint="eastAsia" w:ascii="Verdana" w:hAnsi="Verdana" w:eastAsia="黑体"/>
          <w:sz w:val="21"/>
          <w:szCs w:val="21"/>
        </w:rPr>
        <w:t xml:space="preserve">  月  </w:t>
      </w:r>
      <w:r>
        <w:rPr>
          <w:rFonts w:ascii="Verdana" w:hAnsi="Verdana" w:eastAsia="黑体"/>
          <w:sz w:val="21"/>
          <w:szCs w:val="21"/>
        </w:rPr>
        <w:t xml:space="preserve"> </w:t>
      </w:r>
      <w:r>
        <w:rPr>
          <w:rFonts w:hint="eastAsia" w:ascii="Verdana" w:hAnsi="Verdana" w:eastAsia="黑体"/>
          <w:sz w:val="21"/>
          <w:szCs w:val="21"/>
        </w:rPr>
        <w:t xml:space="preserve"> </w:t>
      </w:r>
      <w:r>
        <w:rPr>
          <w:rFonts w:ascii="Verdana" w:hAnsi="Verdana" w:eastAsia="黑体"/>
          <w:sz w:val="21"/>
          <w:szCs w:val="21"/>
        </w:rPr>
        <w:t>日</w:t>
      </w:r>
      <w:r>
        <w:rPr>
          <w:rFonts w:hint="eastAsia" w:ascii="Verdana" w:hAnsi="Verdana" w:eastAsia="黑体"/>
          <w:sz w:val="21"/>
          <w:szCs w:val="21"/>
        </w:rPr>
        <w:t>（*本调查表填报截止到</w:t>
      </w:r>
      <w:r>
        <w:rPr>
          <w:rFonts w:hint="default" w:ascii="Verdana" w:hAnsi="Verdana" w:eastAsia="黑体"/>
          <w:color w:val="FF0000"/>
          <w:sz w:val="21"/>
          <w:szCs w:val="21"/>
          <w:highlight w:val="none"/>
          <w:lang w:eastAsia="zh-CN"/>
        </w:rPr>
        <w:t>7</w:t>
      </w:r>
      <w:r>
        <w:rPr>
          <w:rFonts w:hint="eastAsia" w:ascii="Verdana" w:hAnsi="Verdana" w:eastAsia="黑体"/>
          <w:color w:val="FF0000"/>
          <w:sz w:val="21"/>
          <w:szCs w:val="21"/>
          <w:highlight w:val="none"/>
        </w:rPr>
        <w:t>月</w:t>
      </w:r>
      <w:r>
        <w:rPr>
          <w:rFonts w:hint="default" w:ascii="Verdana" w:hAnsi="Verdana" w:eastAsia="黑体"/>
          <w:color w:val="FF0000"/>
          <w:sz w:val="21"/>
          <w:szCs w:val="21"/>
          <w:highlight w:val="none"/>
        </w:rPr>
        <w:t>17</w:t>
      </w:r>
      <w:r>
        <w:rPr>
          <w:rFonts w:hint="eastAsia" w:ascii="Verdana" w:hAnsi="Verdana" w:eastAsia="黑体"/>
          <w:color w:val="FF0000"/>
          <w:sz w:val="21"/>
          <w:szCs w:val="21"/>
          <w:highlight w:val="none"/>
          <w:lang w:val="en-US" w:eastAsia="zh-CN"/>
        </w:rPr>
        <w:t>日</w:t>
      </w:r>
      <w:r>
        <w:rPr>
          <w:rFonts w:hint="eastAsia" w:ascii="Verdana" w:hAnsi="Verdana" w:eastAsia="黑体"/>
          <w:sz w:val="21"/>
          <w:szCs w:val="21"/>
        </w:rPr>
        <w:t>）</w:t>
      </w:r>
    </w:p>
    <w:tbl>
      <w:tblPr>
        <w:tblStyle w:val="10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916"/>
        <w:gridCol w:w="1250"/>
        <w:gridCol w:w="202"/>
        <w:gridCol w:w="652"/>
        <w:gridCol w:w="665"/>
        <w:gridCol w:w="645"/>
        <w:gridCol w:w="799"/>
        <w:gridCol w:w="236"/>
        <w:gridCol w:w="850"/>
        <w:gridCol w:w="1530"/>
      </w:tblGrid>
      <w:tr>
        <w:trPr>
          <w:trHeight w:val="552" w:hRule="exac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基本情况（必填）</w:t>
            </w:r>
          </w:p>
        </w:tc>
      </w:tr>
      <w:tr>
        <w:trPr>
          <w:trHeight w:val="627" w:hRule="exac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公司名称</w:t>
            </w:r>
          </w:p>
        </w:tc>
        <w:tc>
          <w:tcPr>
            <w:tcW w:w="682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rPr>
          <w:trHeight w:val="627" w:hRule="exac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注册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地址</w:t>
            </w:r>
          </w:p>
        </w:tc>
        <w:tc>
          <w:tcPr>
            <w:tcW w:w="682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rPr>
          <w:trHeight w:val="550" w:hRule="exac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联系人姓名</w:t>
            </w:r>
          </w:p>
        </w:tc>
        <w:tc>
          <w:tcPr>
            <w:tcW w:w="14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联系手机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邮  箱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rPr>
          <w:trHeight w:val="572" w:hRule="exac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联系人职务</w:t>
            </w:r>
          </w:p>
        </w:tc>
        <w:tc>
          <w:tcPr>
            <w:tcW w:w="14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工作座机</w:t>
            </w:r>
          </w:p>
        </w:tc>
        <w:tc>
          <w:tcPr>
            <w:tcW w:w="16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rPr>
          <w:trHeight w:val="715" w:hRule="atLeas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D0D0D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D0D0D"/>
                <w:sz w:val="21"/>
                <w:szCs w:val="21"/>
              </w:rPr>
              <w:t>企业类型</w:t>
            </w:r>
          </w:p>
        </w:tc>
        <w:tc>
          <w:tcPr>
            <w:tcW w:w="682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color w:val="0D0D0D"/>
                <w:sz w:val="21"/>
                <w:szCs w:val="21"/>
                <w:u w:val="single"/>
              </w:rPr>
            </w:pPr>
          </w:p>
          <w:p>
            <w:pPr>
              <w:snapToGrid w:val="0"/>
              <w:jc w:val="left"/>
              <w:rPr>
                <w:rFonts w:ascii="黑体" w:hAnsi="黑体" w:eastAsia="黑体" w:cs="黑体"/>
                <w:color w:val="0D0D0D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D0D0D"/>
                <w:sz w:val="21"/>
                <w:szCs w:val="21"/>
                <w:u w:val="single"/>
              </w:rPr>
              <w:t xml:space="preserve">                         </w:t>
            </w:r>
          </w:p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D0D0D"/>
                <w:sz w:val="21"/>
                <w:szCs w:val="21"/>
                <w:shd w:val="clear" w:color="auto" w:fill="FFFFFF"/>
              </w:rPr>
              <w:t>（按营业执照填写）</w:t>
            </w:r>
          </w:p>
        </w:tc>
      </w:tr>
      <w:tr>
        <w:trPr>
          <w:trHeight w:val="308" w:hRule="atLeast"/>
          <w:jc w:val="center"/>
        </w:trPr>
        <w:tc>
          <w:tcPr>
            <w:tcW w:w="223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color w:val="0D0D0D"/>
                <w:sz w:val="21"/>
                <w:szCs w:val="21"/>
                <w:lang w:eastAsia="zh-CN"/>
              </w:rPr>
              <w:t>业务收入</w:t>
            </w:r>
          </w:p>
        </w:tc>
        <w:tc>
          <w:tcPr>
            <w:tcW w:w="34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201</w:t>
            </w:r>
            <w:r>
              <w:rPr>
                <w:rFonts w:hint="default" w:ascii="黑体" w:hAnsi="黑体" w:eastAsia="黑体" w:cs="黑体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医药冷链营业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收入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（需提供财务审计报告扫描件）</w:t>
            </w:r>
          </w:p>
        </w:tc>
        <w:tc>
          <w:tcPr>
            <w:tcW w:w="34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￥（   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）万元</w:t>
            </w:r>
          </w:p>
        </w:tc>
      </w:tr>
      <w:tr>
        <w:trPr>
          <w:trHeight w:val="308" w:hRule="atLeast"/>
          <w:jc w:val="center"/>
        </w:trPr>
        <w:tc>
          <w:tcPr>
            <w:tcW w:w="223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4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201</w:t>
            </w:r>
            <w:r>
              <w:rPr>
                <w:rFonts w:hint="default" w:ascii="黑体" w:hAnsi="黑体" w:eastAsia="黑体" w:cs="黑体"/>
                <w:b/>
                <w:bCs/>
                <w:sz w:val="21"/>
                <w:szCs w:val="21"/>
                <w:lang w:eastAsia="zh-CN"/>
              </w:rPr>
              <w:t>9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黑体" w:hAnsi="黑体" w:eastAsia="黑体" w:cs="黑体"/>
                <w:b/>
                <w:bCs/>
                <w:sz w:val="21"/>
                <w:szCs w:val="21"/>
                <w:lang w:eastAsia="zh-CN"/>
              </w:rPr>
              <w:t>医药冷链营业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收入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（需提供财务审计报告扫描件）</w:t>
            </w:r>
          </w:p>
        </w:tc>
        <w:tc>
          <w:tcPr>
            <w:tcW w:w="34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￥（    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）万元</w:t>
            </w:r>
          </w:p>
        </w:tc>
      </w:tr>
      <w:tr>
        <w:trPr>
          <w:trHeight w:val="699" w:hRule="exac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 w:cs="黑体"/>
                <w:color w:val="0D0D0D"/>
                <w:sz w:val="21"/>
                <w:szCs w:val="21"/>
                <w:lang w:eastAsia="zh-CN"/>
              </w:rPr>
            </w:pPr>
            <w:r>
              <w:rPr>
                <w:rFonts w:hint="default" w:ascii="黑体" w:hAnsi="黑体" w:eastAsia="黑体" w:cs="黑体"/>
                <w:color w:val="0D0D0D"/>
                <w:sz w:val="21"/>
                <w:szCs w:val="21"/>
                <w:lang w:eastAsia="zh-CN"/>
              </w:rPr>
              <w:t>2019医药冷链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黑体" w:hAnsi="黑体" w:eastAsia="黑体" w:cs="黑体"/>
                <w:color w:val="0D0D0D"/>
                <w:sz w:val="21"/>
                <w:szCs w:val="21"/>
                <w:lang w:eastAsia="zh-CN"/>
              </w:rPr>
              <w:t>配送货值</w:t>
            </w:r>
          </w:p>
        </w:tc>
        <w:tc>
          <w:tcPr>
            <w:tcW w:w="682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￥（    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）万元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其中自有配送占比：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%；外协配送占比：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%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rPr>
          <w:trHeight w:val="1253" w:hRule="exac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医药冷链物流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总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费用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注:</w:t>
            </w:r>
            <w:r>
              <w:rPr>
                <w:rFonts w:hint="default" w:ascii="黑体" w:hAnsi="黑体" w:eastAsia="黑体" w:cs="黑体"/>
                <w:i/>
                <w:iCs/>
                <w:sz w:val="16"/>
                <w:szCs w:val="16"/>
                <w:u w:val="none"/>
                <w:lang w:eastAsia="zh-CN"/>
              </w:rPr>
              <w:t>物流</w:t>
            </w: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u w:val="none"/>
                <w:lang w:val="en-US" w:eastAsia="zh-CN"/>
              </w:rPr>
              <w:t>总</w:t>
            </w:r>
            <w:r>
              <w:rPr>
                <w:rFonts w:hint="default" w:ascii="黑体" w:hAnsi="黑体" w:eastAsia="黑体" w:cs="黑体"/>
                <w:i/>
                <w:iCs/>
                <w:sz w:val="18"/>
                <w:szCs w:val="18"/>
                <w:u w:val="none"/>
                <w:lang w:eastAsia="zh-CN"/>
              </w:rPr>
              <w:t>费用</w:t>
            </w: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u w:val="none"/>
                <w:lang w:val="en-US" w:eastAsia="zh-CN"/>
              </w:rPr>
              <w:t>=</w:t>
            </w:r>
            <w:r>
              <w:rPr>
                <w:rFonts w:hint="default" w:ascii="黑体" w:hAnsi="黑体" w:eastAsia="黑体" w:cs="黑体"/>
                <w:i/>
                <w:iCs/>
                <w:sz w:val="18"/>
                <w:szCs w:val="18"/>
                <w:u w:val="none"/>
                <w:lang w:eastAsia="zh-CN"/>
              </w:rPr>
              <w:t>仓储</w:t>
            </w:r>
            <w:r>
              <w:rPr>
                <w:rFonts w:hint="eastAsia" w:ascii="黑体" w:hAnsi="黑体" w:eastAsia="黑体" w:cs="黑体"/>
                <w:i/>
                <w:iCs/>
                <w:sz w:val="18"/>
                <w:szCs w:val="18"/>
                <w:u w:val="none"/>
                <w:lang w:val="en-US" w:eastAsia="zh-CN"/>
              </w:rPr>
              <w:t>成本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+</w:t>
            </w:r>
            <w:r>
              <w:rPr>
                <w:rFonts w:hint="default" w:ascii="黑体" w:hAnsi="黑体" w:eastAsia="黑体" w:cs="黑体"/>
                <w:i/>
                <w:iCs/>
                <w:sz w:val="16"/>
                <w:szCs w:val="16"/>
                <w:u w:val="none"/>
                <w:lang w:eastAsia="zh-CN"/>
              </w:rPr>
              <w:t>运输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成本+</w:t>
            </w:r>
            <w:r>
              <w:rPr>
                <w:rFonts w:hint="default" w:ascii="黑体" w:hAnsi="黑体" w:eastAsia="黑体" w:cs="黑体"/>
                <w:i/>
                <w:iCs/>
                <w:sz w:val="16"/>
                <w:szCs w:val="16"/>
                <w:u w:val="none"/>
                <w:lang w:eastAsia="zh-CN"/>
              </w:rPr>
              <w:t>管理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成本</w:t>
            </w:r>
          </w:p>
        </w:tc>
        <w:tc>
          <w:tcPr>
            <w:tcW w:w="682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  <w:lang w:eastAsia="zh-CN"/>
              </w:rPr>
              <w:t>冷链物流总费用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  <w:lang w:eastAsia="zh-CN"/>
              </w:rPr>
              <w:t>冷链仓储成本：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  <w:lang w:eastAsia="zh-CN"/>
              </w:rPr>
              <w:t>冷链运输成本：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  <w:lang w:eastAsia="zh-CN"/>
              </w:rPr>
              <w:t>冷链管理成本：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92" w:hRule="exac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员工数量</w:t>
            </w:r>
          </w:p>
        </w:tc>
        <w:tc>
          <w:tcPr>
            <w:tcW w:w="682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自有员工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人，使用劳务外包（  有   无）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51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保温箱&amp;冷藏箱的使用</w:t>
            </w:r>
            <w:r>
              <w:rPr>
                <w:rFonts w:hint="default" w:ascii="黑体" w:hAnsi="黑体" w:eastAsia="黑体" w:cs="黑体"/>
                <w:b/>
                <w:bCs/>
                <w:sz w:val="21"/>
                <w:szCs w:val="21"/>
              </w:rPr>
              <w:t>（必填）</w:t>
            </w:r>
          </w:p>
        </w:tc>
      </w:tr>
      <w:tr>
        <w:trPr>
          <w:trHeight w:val="194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保温箱&amp;冷藏箱使用总量：_______个；其中自有_______个；租赁_______个；</w:t>
            </w: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保温箱&amp;冷藏箱年度使用费用：_______万元；</w:t>
            </w: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b/>
                <w:bCs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保温箱&amp;冷藏箱主要使用品牌：</w:t>
            </w:r>
            <w:r>
              <w:rPr>
                <w:rFonts w:hint="default" w:ascii="黑体" w:hAnsi="黑体" w:eastAsia="黑体" w:cs="黑体"/>
                <w:b/>
                <w:bCs/>
                <w:sz w:val="21"/>
                <w:szCs w:val="21"/>
                <w:u w:val="single"/>
              </w:rPr>
              <w:t xml:space="preserve">                                                  </w:t>
            </w: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保温箱&amp;冷藏箱是否经过GSP验证： 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运输能力</w:t>
            </w:r>
            <w:r>
              <w:rPr>
                <w:rFonts w:hint="default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（必填）</w:t>
            </w:r>
          </w:p>
        </w:tc>
      </w:tr>
      <w:tr>
        <w:trPr>
          <w:trHeight w:val="194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冷藏车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rPr>
          <w:trHeight w:val="194" w:hRule="atLeast"/>
          <w:jc w:val="center"/>
        </w:trPr>
        <w:tc>
          <w:tcPr>
            <w:tcW w:w="43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自有数量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47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外包数量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rPr>
          <w:trHeight w:val="453" w:hRule="atLeas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4.2m~7.2m</w:t>
            </w:r>
          </w:p>
        </w:tc>
        <w:tc>
          <w:tcPr>
            <w:tcW w:w="2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1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4.2m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~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7.2m</w:t>
            </w:r>
          </w:p>
        </w:tc>
        <w:tc>
          <w:tcPr>
            <w:tcW w:w="2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rPr>
          <w:trHeight w:val="194" w:hRule="atLeas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7.6m~9.6m</w:t>
            </w:r>
          </w:p>
        </w:tc>
        <w:tc>
          <w:tcPr>
            <w:tcW w:w="2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1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7.6m~9.6m</w:t>
            </w:r>
          </w:p>
        </w:tc>
        <w:tc>
          <w:tcPr>
            <w:tcW w:w="2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rPr>
          <w:trHeight w:val="194" w:hRule="atLeas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13m~17m</w:t>
            </w:r>
          </w:p>
        </w:tc>
        <w:tc>
          <w:tcPr>
            <w:tcW w:w="2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21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13m~17m</w:t>
            </w:r>
          </w:p>
        </w:tc>
        <w:tc>
          <w:tcPr>
            <w:tcW w:w="26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</w:p>
        </w:tc>
      </w:tr>
      <w:tr>
        <w:trPr>
          <w:trHeight w:val="553" w:hRule="atLeas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其他车型</w:t>
            </w:r>
          </w:p>
        </w:tc>
        <w:tc>
          <w:tcPr>
            <w:tcW w:w="682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12" w:firstLineChars="200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台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1"/>
                <w:szCs w:val="21"/>
              </w:rPr>
              <w:t>（如有请说明具体车型和数量）</w:t>
            </w:r>
          </w:p>
        </w:tc>
      </w:tr>
      <w:tr>
        <w:trPr>
          <w:trHeight w:val="553" w:hRule="atLeas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冷机品牌</w:t>
            </w:r>
          </w:p>
        </w:tc>
        <w:tc>
          <w:tcPr>
            <w:tcW w:w="682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</w:pPr>
          </w:p>
        </w:tc>
      </w:tr>
      <w:tr>
        <w:trPr>
          <w:trHeight w:val="478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 xml:space="preserve">冷藏车是否经过验证：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>
        <w:trPr>
          <w:trHeight w:val="490" w:hRule="atLeas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运输业务类型占比</w:t>
            </w:r>
          </w:p>
        </w:tc>
        <w:tc>
          <w:tcPr>
            <w:tcW w:w="682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none"/>
              </w:rPr>
              <w:t>按运输范围分：干线运输占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  <w:t xml:space="preserve">     %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none"/>
              </w:rPr>
              <w:t>，城配运输占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  <w:t xml:space="preserve">      %；</w:t>
            </w:r>
          </w:p>
          <w:p>
            <w:pPr>
              <w:widowControl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none"/>
              </w:rPr>
              <w:t>按车辆满载率分：整车运输占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  <w:t xml:space="preserve">      %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none"/>
              </w:rPr>
              <w:t>，零担运输占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  <w:t xml:space="preserve">      %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none"/>
              </w:rPr>
              <w:t>。</w:t>
            </w:r>
          </w:p>
        </w:tc>
      </w:tr>
      <w:tr>
        <w:trPr>
          <w:trHeight w:val="490" w:hRule="atLeas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运输网点数量</w:t>
            </w:r>
          </w:p>
        </w:tc>
        <w:tc>
          <w:tcPr>
            <w:tcW w:w="682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  <w:u w:val="none"/>
              </w:rPr>
              <w:t>个</w:t>
            </w:r>
          </w:p>
        </w:tc>
      </w:tr>
      <w:tr>
        <w:trPr>
          <w:trHeight w:val="451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b/>
                <w:bCs/>
                <w:sz w:val="21"/>
                <w:szCs w:val="21"/>
              </w:rPr>
              <w:t>服务能力（必填）</w:t>
            </w:r>
          </w:p>
        </w:tc>
      </w:tr>
      <w:tr>
        <w:trPr>
          <w:trHeight w:val="2390" w:hRule="atLeast"/>
          <w:jc w:val="center"/>
        </w:trPr>
        <w:tc>
          <w:tcPr>
            <w:tcW w:w="22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企业客户分类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及数量</w:t>
            </w:r>
          </w:p>
        </w:tc>
        <w:tc>
          <w:tcPr>
            <w:tcW w:w="6829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医    院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：</w:t>
            </w:r>
            <w:r>
              <w:rPr>
                <w:rFonts w:hint="default" w:ascii="黑体" w:hAnsi="黑体" w:eastAsia="黑体" w:cs="黑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家</w:t>
            </w:r>
          </w:p>
          <w:p>
            <w:pPr>
              <w:snapToGrid w:val="0"/>
              <w:spacing w:line="360" w:lineRule="auto"/>
              <w:jc w:val="left"/>
              <w:rPr>
                <w:rFonts w:hint="default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疾控中心：</w:t>
            </w:r>
            <w:r>
              <w:rPr>
                <w:rFonts w:hint="default" w:ascii="黑体" w:hAnsi="黑体" w:eastAsia="黑体" w:cs="黑体"/>
                <w:sz w:val="21"/>
                <w:szCs w:val="21"/>
                <w:u w:val="single"/>
              </w:rPr>
              <w:t xml:space="preserve">       家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商业企业：</w:t>
            </w:r>
            <w:r>
              <w:rPr>
                <w:rFonts w:hint="default" w:ascii="黑体" w:hAnsi="黑体" w:eastAsia="黑体" w:cs="黑体"/>
                <w:sz w:val="21"/>
                <w:szCs w:val="21"/>
                <w:u w:val="single"/>
              </w:rPr>
              <w:t xml:space="preserve">       家</w:t>
            </w:r>
          </w:p>
          <w:p>
            <w:pPr>
              <w:snapToGrid w:val="0"/>
              <w:spacing w:line="360" w:lineRule="auto"/>
              <w:jc w:val="left"/>
              <w:rPr>
                <w:rFonts w:hint="default"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生产企业：</w:t>
            </w:r>
            <w:r>
              <w:rPr>
                <w:rFonts w:hint="default" w:ascii="黑体" w:hAnsi="黑体" w:eastAsia="黑体" w:cs="黑体"/>
                <w:sz w:val="21"/>
                <w:szCs w:val="21"/>
                <w:u w:val="single"/>
              </w:rPr>
              <w:t xml:space="preserve">       家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其他企业：</w:t>
            </w:r>
            <w:r>
              <w:rPr>
                <w:rFonts w:hint="default" w:ascii="黑体" w:hAnsi="黑体" w:eastAsia="黑体" w:cs="黑体"/>
                <w:sz w:val="21"/>
                <w:szCs w:val="21"/>
                <w:u w:val="single"/>
              </w:rPr>
              <w:t xml:space="preserve">       家</w:t>
            </w:r>
          </w:p>
        </w:tc>
      </w:tr>
      <w:tr>
        <w:trPr>
          <w:trHeight w:val="552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信息化能力（必填）</w:t>
            </w:r>
          </w:p>
        </w:tc>
      </w:tr>
      <w:tr>
        <w:trPr>
          <w:trHeight w:val="553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是否有仓库信息化能力：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□是  □否</w:t>
            </w:r>
          </w:p>
        </w:tc>
      </w:tr>
      <w:tr>
        <w:trPr>
          <w:trHeight w:val="1054" w:hRule="atLeast"/>
          <w:jc w:val="center"/>
        </w:trPr>
        <w:tc>
          <w:tcPr>
            <w:tcW w:w="90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default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日均处理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药品冷链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订单量：_______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注：日均订单量</w:t>
            </w:r>
          </w:p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日均处理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药品冷链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SKU：_______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i/>
                <w:iCs/>
                <w:sz w:val="16"/>
                <w:szCs w:val="16"/>
                <w:u w:val="none"/>
                <w:lang w:val="en-US" w:eastAsia="zh-CN"/>
              </w:rPr>
              <w:t>注：日均处理品规数</w:t>
            </w:r>
          </w:p>
        </w:tc>
      </w:tr>
      <w:tr>
        <w:trPr>
          <w:trHeight w:val="2190" w:hRule="atLeast"/>
          <w:jc w:val="center"/>
        </w:trPr>
        <w:tc>
          <w:tcPr>
            <w:tcW w:w="131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分会联系人</w:t>
            </w:r>
          </w:p>
        </w:tc>
        <w:tc>
          <w:tcPr>
            <w:tcW w:w="21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联系人：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焦玲艳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电话：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17310475414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default" w:ascii="黑体" w:hAnsi="黑体" w:eastAsia="黑体" w:cs="黑体"/>
                <w:sz w:val="21"/>
                <w:szCs w:val="21"/>
              </w:rPr>
              <w:t>邮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箱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：</w:t>
            </w:r>
            <w:r>
              <w:fldChar w:fldCharType="begin"/>
            </w:r>
            <w:r>
              <w:instrText xml:space="preserve"> HYPERLINK "mailto:lyj@cpl.org.cn" </w:instrText>
            </w:r>
            <w:r>
              <w:fldChar w:fldCharType="separate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jyl@cpl.org.cn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fldChar w:fldCharType="end"/>
            </w:r>
          </w:p>
          <w:p>
            <w:pPr>
              <w:snapToGri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557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调查说明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★ 本调查旨在对201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9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年全国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医药冷链运输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企业现状进行摸底了解，用于201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9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中国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医药冷链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企业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二十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强排名统计依据，请务必如实填写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★ 填写完整后，需要在表头加盖企业公章。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★ 为保证真实性，请参与企业务必提供财务审计报告扫描件或复印件，无法提供者不能计入最终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二十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强排名</w:t>
            </w:r>
            <w:r>
              <w:rPr>
                <w:rFonts w:hint="default" w:ascii="黑体" w:hAnsi="黑体" w:eastAsia="黑体" w:cs="黑体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★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申报材料：申报表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Word、申报表PDF（盖章）、财务审计报告、经营许可证</w:t>
            </w:r>
            <w:r>
              <w:rPr>
                <w:rFonts w:hint="default" w:ascii="黑体" w:hAnsi="黑体" w:eastAsia="黑体" w:cs="黑体"/>
                <w:sz w:val="21"/>
                <w:szCs w:val="21"/>
                <w:lang w:eastAsia="zh-CN"/>
              </w:rPr>
              <w:t>、道路运输许可证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、企业logo</w:t>
            </w:r>
            <w:r>
              <w:rPr>
                <w:rFonts w:hint="default" w:ascii="黑体" w:hAnsi="黑体" w:eastAsia="黑体" w:cs="黑体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tabs>
          <w:tab w:val="left" w:pos="607"/>
        </w:tabs>
        <w:bidi w:val="0"/>
        <w:jc w:val="left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chapStyle="2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- 1 -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Z+jDW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- 1 -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attachedTemplate r:id="rId1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B81459"/>
    <w:rsid w:val="00014B8C"/>
    <w:rsid w:val="000214D2"/>
    <w:rsid w:val="00024F77"/>
    <w:rsid w:val="00033F8D"/>
    <w:rsid w:val="00055C66"/>
    <w:rsid w:val="000968C5"/>
    <w:rsid w:val="000A0DBB"/>
    <w:rsid w:val="000B373D"/>
    <w:rsid w:val="000D7628"/>
    <w:rsid w:val="000D7D0B"/>
    <w:rsid w:val="00144CF4"/>
    <w:rsid w:val="001454FD"/>
    <w:rsid w:val="001A137F"/>
    <w:rsid w:val="001C55ED"/>
    <w:rsid w:val="001C63FA"/>
    <w:rsid w:val="001D2992"/>
    <w:rsid w:val="00212856"/>
    <w:rsid w:val="00231D8B"/>
    <w:rsid w:val="00261459"/>
    <w:rsid w:val="002B7045"/>
    <w:rsid w:val="002D3B86"/>
    <w:rsid w:val="002F0B8C"/>
    <w:rsid w:val="00334AE4"/>
    <w:rsid w:val="0033699B"/>
    <w:rsid w:val="003B4536"/>
    <w:rsid w:val="003B66B6"/>
    <w:rsid w:val="003D47D8"/>
    <w:rsid w:val="004170AF"/>
    <w:rsid w:val="00476952"/>
    <w:rsid w:val="00487CE2"/>
    <w:rsid w:val="004B2FBC"/>
    <w:rsid w:val="00576D0C"/>
    <w:rsid w:val="00585267"/>
    <w:rsid w:val="0059352F"/>
    <w:rsid w:val="00596CF0"/>
    <w:rsid w:val="005B1727"/>
    <w:rsid w:val="005D1F16"/>
    <w:rsid w:val="005F1F15"/>
    <w:rsid w:val="00605962"/>
    <w:rsid w:val="0061052D"/>
    <w:rsid w:val="006161DE"/>
    <w:rsid w:val="006721AF"/>
    <w:rsid w:val="006D21D6"/>
    <w:rsid w:val="006E1B77"/>
    <w:rsid w:val="006E6B01"/>
    <w:rsid w:val="00732B8D"/>
    <w:rsid w:val="0076630B"/>
    <w:rsid w:val="00771456"/>
    <w:rsid w:val="007D5B53"/>
    <w:rsid w:val="00825AD5"/>
    <w:rsid w:val="008603D5"/>
    <w:rsid w:val="00860E3E"/>
    <w:rsid w:val="008778E9"/>
    <w:rsid w:val="008826A9"/>
    <w:rsid w:val="008C558D"/>
    <w:rsid w:val="00907285"/>
    <w:rsid w:val="00921CB0"/>
    <w:rsid w:val="00933F1F"/>
    <w:rsid w:val="00991CE4"/>
    <w:rsid w:val="00A46637"/>
    <w:rsid w:val="00AD19E3"/>
    <w:rsid w:val="00B039C7"/>
    <w:rsid w:val="00B30916"/>
    <w:rsid w:val="00B54D78"/>
    <w:rsid w:val="00B71CAB"/>
    <w:rsid w:val="00B770E4"/>
    <w:rsid w:val="00BB38B5"/>
    <w:rsid w:val="00BF7DB8"/>
    <w:rsid w:val="00C61C5B"/>
    <w:rsid w:val="00CB527B"/>
    <w:rsid w:val="00CD2C3D"/>
    <w:rsid w:val="00D5542B"/>
    <w:rsid w:val="00DB183F"/>
    <w:rsid w:val="00DE29D5"/>
    <w:rsid w:val="00E1154D"/>
    <w:rsid w:val="00E11A97"/>
    <w:rsid w:val="00E32FF4"/>
    <w:rsid w:val="00E35859"/>
    <w:rsid w:val="00E5061C"/>
    <w:rsid w:val="00E829D9"/>
    <w:rsid w:val="00E83B6D"/>
    <w:rsid w:val="00EB4019"/>
    <w:rsid w:val="00EC779A"/>
    <w:rsid w:val="00EE2E12"/>
    <w:rsid w:val="00F32D5A"/>
    <w:rsid w:val="00F33443"/>
    <w:rsid w:val="00F64820"/>
    <w:rsid w:val="00F85A26"/>
    <w:rsid w:val="00F9556A"/>
    <w:rsid w:val="00FB31F4"/>
    <w:rsid w:val="00FB7115"/>
    <w:rsid w:val="00FE3F17"/>
    <w:rsid w:val="00FF5F7C"/>
    <w:rsid w:val="015212FF"/>
    <w:rsid w:val="01DA6842"/>
    <w:rsid w:val="0226402A"/>
    <w:rsid w:val="02B81459"/>
    <w:rsid w:val="030C3169"/>
    <w:rsid w:val="06033540"/>
    <w:rsid w:val="06201B5F"/>
    <w:rsid w:val="086C40F3"/>
    <w:rsid w:val="0A7E5BEB"/>
    <w:rsid w:val="0AC322A6"/>
    <w:rsid w:val="0D3651EB"/>
    <w:rsid w:val="0D3B3559"/>
    <w:rsid w:val="0DB30C25"/>
    <w:rsid w:val="0F0B1DAA"/>
    <w:rsid w:val="0F50257F"/>
    <w:rsid w:val="0FA565C9"/>
    <w:rsid w:val="10741E64"/>
    <w:rsid w:val="10A94ED2"/>
    <w:rsid w:val="11A91ABD"/>
    <w:rsid w:val="12A014EC"/>
    <w:rsid w:val="143E2BF8"/>
    <w:rsid w:val="14912A45"/>
    <w:rsid w:val="14DF4A3F"/>
    <w:rsid w:val="16DD7C66"/>
    <w:rsid w:val="18E617EA"/>
    <w:rsid w:val="1A990CD7"/>
    <w:rsid w:val="1B6549DC"/>
    <w:rsid w:val="1C070F84"/>
    <w:rsid w:val="1E5A1C73"/>
    <w:rsid w:val="1E9A5AFF"/>
    <w:rsid w:val="1F676B5F"/>
    <w:rsid w:val="21225975"/>
    <w:rsid w:val="23250638"/>
    <w:rsid w:val="23E4423E"/>
    <w:rsid w:val="2AB36B2C"/>
    <w:rsid w:val="2E980DBB"/>
    <w:rsid w:val="2FBF8A5E"/>
    <w:rsid w:val="31186C34"/>
    <w:rsid w:val="31AE5997"/>
    <w:rsid w:val="322563D9"/>
    <w:rsid w:val="34E0178B"/>
    <w:rsid w:val="35305A25"/>
    <w:rsid w:val="3A942F48"/>
    <w:rsid w:val="3CFF512E"/>
    <w:rsid w:val="3D9D5888"/>
    <w:rsid w:val="3DC24B71"/>
    <w:rsid w:val="3E680EE6"/>
    <w:rsid w:val="3ECF10FC"/>
    <w:rsid w:val="3F752338"/>
    <w:rsid w:val="4061371A"/>
    <w:rsid w:val="45005829"/>
    <w:rsid w:val="45330D58"/>
    <w:rsid w:val="455642AB"/>
    <w:rsid w:val="45761D23"/>
    <w:rsid w:val="45B52BC9"/>
    <w:rsid w:val="45C04E9C"/>
    <w:rsid w:val="46F5FC88"/>
    <w:rsid w:val="4718151B"/>
    <w:rsid w:val="475344EF"/>
    <w:rsid w:val="47F829F1"/>
    <w:rsid w:val="4A7E08FE"/>
    <w:rsid w:val="4AED76EB"/>
    <w:rsid w:val="4C5C3F77"/>
    <w:rsid w:val="4C6E5010"/>
    <w:rsid w:val="4D3B77D3"/>
    <w:rsid w:val="4D420582"/>
    <w:rsid w:val="4D741DBF"/>
    <w:rsid w:val="4F647583"/>
    <w:rsid w:val="545E5C2A"/>
    <w:rsid w:val="54690C47"/>
    <w:rsid w:val="56807258"/>
    <w:rsid w:val="571A2864"/>
    <w:rsid w:val="58A53AF1"/>
    <w:rsid w:val="5B8E27F3"/>
    <w:rsid w:val="5BB57F2C"/>
    <w:rsid w:val="613663FC"/>
    <w:rsid w:val="615B5A90"/>
    <w:rsid w:val="63DE88E4"/>
    <w:rsid w:val="64FE1DF1"/>
    <w:rsid w:val="65364B14"/>
    <w:rsid w:val="68963081"/>
    <w:rsid w:val="68BE0539"/>
    <w:rsid w:val="6A8D6AA9"/>
    <w:rsid w:val="6D535020"/>
    <w:rsid w:val="6D9153C2"/>
    <w:rsid w:val="6E37537A"/>
    <w:rsid w:val="6EE721BE"/>
    <w:rsid w:val="6F6C6D64"/>
    <w:rsid w:val="6FE46920"/>
    <w:rsid w:val="731A30CE"/>
    <w:rsid w:val="732F1931"/>
    <w:rsid w:val="74583AD3"/>
    <w:rsid w:val="74E625E3"/>
    <w:rsid w:val="755545ED"/>
    <w:rsid w:val="77054F3A"/>
    <w:rsid w:val="7730241A"/>
    <w:rsid w:val="77BDED67"/>
    <w:rsid w:val="78392D80"/>
    <w:rsid w:val="7AD478DC"/>
    <w:rsid w:val="7E0174A9"/>
    <w:rsid w:val="7F0907C0"/>
    <w:rsid w:val="7F750746"/>
    <w:rsid w:val="7F9B1531"/>
    <w:rsid w:val="7FFD27B3"/>
    <w:rsid w:val="7FFFB3B2"/>
    <w:rsid w:val="BB7B7BD8"/>
    <w:rsid w:val="DAFF12B6"/>
    <w:rsid w:val="DFFDD137"/>
    <w:rsid w:val="E3D1120C"/>
    <w:rsid w:val="E6BA4E06"/>
    <w:rsid w:val="FFC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2">
    <w:name w:val="页眉 字符"/>
    <w:link w:val="5"/>
    <w:qFormat/>
    <w:uiPriority w:val="0"/>
    <w:rPr>
      <w:rFonts w:ascii="Calibri" w:hAnsi="Calibri" w:eastAsia="仿宋_GB2312"/>
      <w:kern w:val="2"/>
      <w:sz w:val="18"/>
      <w:szCs w:val="18"/>
    </w:rPr>
  </w:style>
  <w:style w:type="character" w:customStyle="1" w:styleId="13">
    <w:name w:val="页脚 字符"/>
    <w:link w:val="4"/>
    <w:qFormat/>
    <w:uiPriority w:val="0"/>
    <w:rPr>
      <w:rFonts w:ascii="Calibri" w:hAnsi="Calibri" w:eastAsia="仿宋_GB2312"/>
      <w:kern w:val="2"/>
      <w:sz w:val="18"/>
      <w:szCs w:val="18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aolingyan/Library/Containers/com.kingsoft.wpsoffice.mac/Data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 cap="flat" cmpd="sng">
          <a:solidFill>
            <a:srgbClr val="FF0000"/>
          </a:solidFill>
          <a:prstDash val="solid"/>
          <a:headEnd type="none" w="med" len="med"/>
          <a:tailEnd type="none" w="med" len="med"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6</Pages>
  <Words>1878</Words>
  <Characters>2532</Characters>
  <Lines>8</Lines>
  <Paragraphs>2</Paragraphs>
  <ScaleCrop>false</ScaleCrop>
  <LinksUpToDate>false</LinksUpToDate>
  <CharactersWithSpaces>3071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2018-09-05T17:31:00Z</dcterms:created>
  <dc:creator>Administrator</dc:creator>
  <cp:lastModifiedBy>jiaolingyan</cp:lastModifiedBy>
  <cp:lastPrinted>2019-03-03T13:25:00Z</cp:lastPrinted>
  <dcterms:modified xsi:type="dcterms:W3CDTF">2020-06-22T17:04:25Z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